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660CA" w14:textId="77777777" w:rsidR="00DB039A" w:rsidRPr="007942B8" w:rsidRDefault="00F77A8C" w:rsidP="00837A10">
      <w:pPr>
        <w:rPr>
          <w:b/>
          <w:color w:val="FF0000"/>
          <w:sz w:val="28"/>
          <w:szCs w:val="28"/>
          <w:u w:val="single"/>
        </w:rPr>
      </w:pPr>
      <w:r w:rsidRPr="007942B8">
        <w:rPr>
          <w:b/>
          <w:noProof/>
          <w:color w:val="FF0000"/>
          <w:sz w:val="28"/>
          <w:szCs w:val="28"/>
          <w:u w:val="single"/>
        </w:rPr>
        <mc:AlternateContent>
          <mc:Choice Requires="wps">
            <w:drawing>
              <wp:anchor distT="0" distB="0" distL="114300" distR="114300" simplePos="0" relativeHeight="251661312" behindDoc="0" locked="0" layoutInCell="1" allowOverlap="1" wp14:anchorId="599FC0D7" wp14:editId="60B5EE91">
                <wp:simplePos x="0" y="0"/>
                <wp:positionH relativeFrom="margin">
                  <wp:align>center</wp:align>
                </wp:positionH>
                <wp:positionV relativeFrom="paragraph">
                  <wp:posOffset>-247650</wp:posOffset>
                </wp:positionV>
                <wp:extent cx="2993366" cy="957268"/>
                <wp:effectExtent l="0" t="0" r="0" b="0"/>
                <wp:wrapNone/>
                <wp:docPr id="1" name="Text Box 1"/>
                <wp:cNvGraphicFramePr/>
                <a:graphic xmlns:a="http://schemas.openxmlformats.org/drawingml/2006/main">
                  <a:graphicData uri="http://schemas.microsoft.com/office/word/2010/wordprocessingShape">
                    <wps:wsp>
                      <wps:cNvSpPr txBox="1"/>
                      <wps:spPr>
                        <a:xfrm>
                          <a:off x="0" y="0"/>
                          <a:ext cx="2993366" cy="9572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5BD490" w14:textId="77777777" w:rsidR="00F96F6A" w:rsidRDefault="00F77A8C" w:rsidP="00F77A8C">
                            <w:pPr>
                              <w:jc w:val="center"/>
                            </w:pPr>
                            <w:r>
                              <w:rPr>
                                <w:noProof/>
                              </w:rPr>
                              <w:drawing>
                                <wp:inline distT="0" distB="0" distL="0" distR="0" wp14:anchorId="285ED235" wp14:editId="58B3013C">
                                  <wp:extent cx="2223582" cy="767751"/>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2375" cy="7811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FC0D7" id="_x0000_t202" coordsize="21600,21600" o:spt="202" path="m,l,21600r21600,l21600,xe">
                <v:stroke joinstyle="miter"/>
                <v:path gradientshapeok="t" o:connecttype="rect"/>
              </v:shapetype>
              <v:shape id="Text Box 1" o:spid="_x0000_s1026" type="#_x0000_t202" style="position:absolute;margin-left:0;margin-top:-19.5pt;width:235.7pt;height:75.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" fillcolor="white [3201]" stroked="f" strokeweight=".5pt">
                <v:textbox>
                  <w:txbxContent>
                    <w:p w14:paraId="415BD490" w14:textId="77777777" w:rsidR="00F96F6A" w:rsidRDefault="00F77A8C" w:rsidP="00F77A8C">
                      <w:pPr>
                        <w:jc w:val="center"/>
                      </w:pPr>
                      <w:r>
                        <w:rPr>
                          <w:noProof/>
                        </w:rPr>
                        <w:drawing>
                          <wp:inline distT="0" distB="0" distL="0" distR="0" wp14:anchorId="285ED235" wp14:editId="58B3013C">
                            <wp:extent cx="2223582" cy="767751"/>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2375" cy="781145"/>
                                    </a:xfrm>
                                    <a:prstGeom prst="rect">
                                      <a:avLst/>
                                    </a:prstGeom>
                                    <a:noFill/>
                                    <a:ln>
                                      <a:noFill/>
                                    </a:ln>
                                  </pic:spPr>
                                </pic:pic>
                              </a:graphicData>
                            </a:graphic>
                          </wp:inline>
                        </w:drawing>
                      </w:r>
                    </w:p>
                  </w:txbxContent>
                </v:textbox>
                <w10:wrap anchorx="margin"/>
              </v:shape>
            </w:pict>
          </mc:Fallback>
        </mc:AlternateContent>
      </w:r>
    </w:p>
    <w:p w14:paraId="27ABD916" w14:textId="77777777" w:rsidR="00DB039A" w:rsidRPr="007942B8" w:rsidRDefault="00DB039A" w:rsidP="00C1599E">
      <w:pPr>
        <w:jc w:val="center"/>
        <w:rPr>
          <w:b/>
          <w:color w:val="FF0000"/>
          <w:sz w:val="28"/>
          <w:szCs w:val="28"/>
          <w:u w:val="single"/>
        </w:rPr>
      </w:pPr>
    </w:p>
    <w:p w14:paraId="06B3E136" w14:textId="77777777" w:rsidR="00C0566F" w:rsidRPr="007942B8" w:rsidRDefault="00C0566F" w:rsidP="00C1599E">
      <w:pPr>
        <w:jc w:val="center"/>
        <w:rPr>
          <w:b/>
          <w:color w:val="FF0000"/>
          <w:sz w:val="28"/>
          <w:szCs w:val="28"/>
          <w:u w:val="single"/>
        </w:rPr>
      </w:pPr>
    </w:p>
    <w:p w14:paraId="3DD37B48" w14:textId="77777777" w:rsidR="00C0566F" w:rsidRPr="008B44D6" w:rsidRDefault="00C0566F" w:rsidP="00C1599E">
      <w:pPr>
        <w:jc w:val="center"/>
        <w:rPr>
          <w:b/>
          <w:color w:val="FF0000"/>
          <w:sz w:val="10"/>
          <w:szCs w:val="28"/>
          <w:u w:val="single"/>
        </w:rPr>
      </w:pPr>
    </w:p>
    <w:p w14:paraId="752D4881" w14:textId="77777777" w:rsidR="00BE7836" w:rsidRPr="009655C1" w:rsidRDefault="00035AD2" w:rsidP="009655C1">
      <w:pPr>
        <w:jc w:val="center"/>
        <w:rPr>
          <w:b/>
          <w:sz w:val="32"/>
          <w:szCs w:val="32"/>
        </w:rPr>
      </w:pPr>
      <w:r w:rsidRPr="009655C1">
        <w:rPr>
          <w:b/>
          <w:sz w:val="32"/>
          <w:szCs w:val="32"/>
        </w:rPr>
        <w:t>W</w:t>
      </w:r>
      <w:r w:rsidR="00830782" w:rsidRPr="009655C1">
        <w:rPr>
          <w:b/>
          <w:sz w:val="32"/>
          <w:szCs w:val="32"/>
        </w:rPr>
        <w:t xml:space="preserve">HERE TO FIND FUNDING </w:t>
      </w:r>
      <w:r w:rsidR="006927B9">
        <w:rPr>
          <w:b/>
          <w:sz w:val="32"/>
          <w:szCs w:val="32"/>
        </w:rPr>
        <w:t xml:space="preserve">&amp; PARTNERSHIPS </w:t>
      </w:r>
      <w:r w:rsidR="00DD01FD" w:rsidRPr="009655C1">
        <w:rPr>
          <w:b/>
          <w:sz w:val="32"/>
          <w:szCs w:val="32"/>
        </w:rPr>
        <w:t>FOR</w:t>
      </w:r>
      <w:r w:rsidR="009655C1">
        <w:rPr>
          <w:b/>
          <w:sz w:val="32"/>
          <w:szCs w:val="32"/>
        </w:rPr>
        <w:t xml:space="preserve"> </w:t>
      </w:r>
      <w:r w:rsidR="00DD01FD" w:rsidRPr="009655C1">
        <w:rPr>
          <w:b/>
          <w:sz w:val="32"/>
          <w:szCs w:val="32"/>
        </w:rPr>
        <w:t>HISTORY AND PRESERVATION PROJECTS</w:t>
      </w:r>
    </w:p>
    <w:p w14:paraId="6543646A" w14:textId="77777777" w:rsidR="008B44D6" w:rsidRPr="008B44D6" w:rsidRDefault="008B44D6" w:rsidP="00BE7836">
      <w:pPr>
        <w:jc w:val="center"/>
        <w:rPr>
          <w:sz w:val="8"/>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70118B" w14:textId="476FE061" w:rsidR="008B44D6" w:rsidRPr="008B44D6" w:rsidRDefault="008B44D6" w:rsidP="008B44D6">
      <w:pPr>
        <w:pStyle w:val="NoSpacing"/>
        <w:jc w:val="center"/>
        <w:rPr>
          <w:sz w:val="18"/>
        </w:rPr>
      </w:pPr>
      <w:r w:rsidRPr="004A0FCE">
        <w:rPr>
          <w:sz w:val="18"/>
        </w:rPr>
        <w:t xml:space="preserve">For live links, please view this document at </w:t>
      </w:r>
      <w:r w:rsidR="00146670" w:rsidRPr="004A0FCE">
        <w:rPr>
          <w:sz w:val="18"/>
        </w:rPr>
        <w:t>www.mthistory.org/</w:t>
      </w:r>
      <w:r w:rsidR="00A70E15" w:rsidRPr="004A0FCE">
        <w:rPr>
          <w:sz w:val="18"/>
        </w:rPr>
        <w:t>grant-resources</w:t>
      </w:r>
    </w:p>
    <w:p w14:paraId="175DF5F0" w14:textId="77777777" w:rsidR="008B44D6" w:rsidRPr="008B44D6" w:rsidRDefault="008B44D6" w:rsidP="00BE7836">
      <w:pPr>
        <w:jc w:val="center"/>
        <w:rPr>
          <w:sz w:val="1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B0B602" w14:textId="77777777" w:rsidR="00720CA0" w:rsidRPr="00720CA0" w:rsidRDefault="00720CA0" w:rsidP="004A0FCE">
      <w:pPr>
        <w:jc w:val="center"/>
        <w:rPr>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20CA0">
        <w:t>Please note that this list is not meant to be inclusive and should be used as a starter tool only. All represented data is subject to change.</w:t>
      </w:r>
    </w:p>
    <w:p w14:paraId="38431895" w14:textId="77777777" w:rsidR="00092EBD" w:rsidRPr="00D24138" w:rsidRDefault="00092EBD" w:rsidP="00035AD2">
      <w:pPr>
        <w:rPr>
          <w:rFonts w:ascii="Arial" w:hAnsi="Arial" w:cs="Arial"/>
          <w:color w:val="FF0000"/>
          <w:sz w:val="22"/>
          <w:szCs w:val="18"/>
          <w:shd w:val="clear" w:color="auto" w:fill="FFFFFF"/>
        </w:rPr>
      </w:pPr>
    </w:p>
    <w:p w14:paraId="0112EC44" w14:textId="77777777" w:rsidR="00092EBD" w:rsidRPr="00720CA0" w:rsidRDefault="00092EBD" w:rsidP="00092EBD">
      <w:pPr>
        <w:rPr>
          <w:b/>
          <w:sz w:val="28"/>
        </w:rPr>
      </w:pPr>
      <w:r w:rsidRPr="00720CA0">
        <w:rPr>
          <w:b/>
          <w:sz w:val="28"/>
        </w:rPr>
        <w:t>State and Local Funders</w:t>
      </w:r>
    </w:p>
    <w:tbl>
      <w:tblPr>
        <w:tblStyle w:val="TableGrid"/>
        <w:tblW w:w="14215" w:type="dxa"/>
        <w:tblLayout w:type="fixed"/>
        <w:tblLook w:val="04A0" w:firstRow="1" w:lastRow="0" w:firstColumn="1" w:lastColumn="0" w:noHBand="0" w:noVBand="1"/>
      </w:tblPr>
      <w:tblGrid>
        <w:gridCol w:w="1885"/>
        <w:gridCol w:w="1620"/>
        <w:gridCol w:w="2880"/>
        <w:gridCol w:w="5040"/>
        <w:gridCol w:w="1620"/>
        <w:gridCol w:w="1170"/>
      </w:tblGrid>
      <w:tr w:rsidR="00D24138" w:rsidRPr="00D24138" w14:paraId="10BA07C0" w14:textId="77777777" w:rsidTr="009D4056">
        <w:trPr>
          <w:trHeight w:val="538"/>
        </w:trPr>
        <w:tc>
          <w:tcPr>
            <w:tcW w:w="1885" w:type="dxa"/>
          </w:tcPr>
          <w:p w14:paraId="4DFEA1E7" w14:textId="77777777" w:rsidR="00D24138" w:rsidRPr="00D24138" w:rsidRDefault="00D24138" w:rsidP="002E78DE">
            <w:pPr>
              <w:rPr>
                <w:b/>
              </w:rPr>
            </w:pPr>
            <w:r w:rsidRPr="00D24138">
              <w:rPr>
                <w:b/>
              </w:rPr>
              <w:t>Funder</w:t>
            </w:r>
            <w:r w:rsidR="006927B9">
              <w:rPr>
                <w:b/>
              </w:rPr>
              <w:t>/Partner</w:t>
            </w:r>
          </w:p>
        </w:tc>
        <w:tc>
          <w:tcPr>
            <w:tcW w:w="1620" w:type="dxa"/>
          </w:tcPr>
          <w:p w14:paraId="3C95F369" w14:textId="77777777" w:rsidR="00D24138" w:rsidRPr="00D24138" w:rsidRDefault="00D24138" w:rsidP="002E78DE">
            <w:pPr>
              <w:rPr>
                <w:b/>
              </w:rPr>
            </w:pPr>
            <w:r w:rsidRPr="00D24138">
              <w:rPr>
                <w:b/>
              </w:rPr>
              <w:t>Grant</w:t>
            </w:r>
          </w:p>
        </w:tc>
        <w:tc>
          <w:tcPr>
            <w:tcW w:w="2880" w:type="dxa"/>
          </w:tcPr>
          <w:p w14:paraId="5FA7D5F0" w14:textId="77777777" w:rsidR="00D24138" w:rsidRPr="00D24138" w:rsidRDefault="00D24138" w:rsidP="002E78DE">
            <w:pPr>
              <w:rPr>
                <w:b/>
              </w:rPr>
            </w:pPr>
            <w:r w:rsidRPr="00D24138">
              <w:rPr>
                <w:b/>
              </w:rPr>
              <w:t>Website</w:t>
            </w:r>
          </w:p>
        </w:tc>
        <w:tc>
          <w:tcPr>
            <w:tcW w:w="5040" w:type="dxa"/>
          </w:tcPr>
          <w:p w14:paraId="44C74D60" w14:textId="77777777" w:rsidR="00D24138" w:rsidRPr="00D24138" w:rsidRDefault="00D24138" w:rsidP="002E78DE">
            <w:pPr>
              <w:rPr>
                <w:b/>
              </w:rPr>
            </w:pPr>
            <w:r w:rsidRPr="00D24138">
              <w:rPr>
                <w:b/>
              </w:rPr>
              <w:t>Purpose</w:t>
            </w:r>
          </w:p>
        </w:tc>
        <w:tc>
          <w:tcPr>
            <w:tcW w:w="1620" w:type="dxa"/>
          </w:tcPr>
          <w:p w14:paraId="2CF03903" w14:textId="77777777" w:rsidR="00D24138" w:rsidRPr="00D24138" w:rsidRDefault="00D24138" w:rsidP="00B93791">
            <w:pPr>
              <w:jc w:val="center"/>
              <w:rPr>
                <w:b/>
              </w:rPr>
            </w:pPr>
            <w:r w:rsidRPr="00D24138">
              <w:rPr>
                <w:b/>
              </w:rPr>
              <w:t>Approximate Due Date</w:t>
            </w:r>
          </w:p>
        </w:tc>
        <w:tc>
          <w:tcPr>
            <w:tcW w:w="1170" w:type="dxa"/>
          </w:tcPr>
          <w:p w14:paraId="16C7F977" w14:textId="77777777" w:rsidR="00D24138" w:rsidRPr="00D24138" w:rsidRDefault="00D24138" w:rsidP="00B93791">
            <w:pPr>
              <w:jc w:val="center"/>
              <w:rPr>
                <w:b/>
              </w:rPr>
            </w:pPr>
            <w:r w:rsidRPr="00D24138">
              <w:rPr>
                <w:b/>
              </w:rPr>
              <w:t>Funding Range</w:t>
            </w:r>
          </w:p>
        </w:tc>
      </w:tr>
      <w:tr w:rsidR="00C947D5" w:rsidRPr="00D24138" w14:paraId="7E9BA51B" w14:textId="77777777" w:rsidTr="009D4056">
        <w:trPr>
          <w:trHeight w:val="1367"/>
        </w:trPr>
        <w:tc>
          <w:tcPr>
            <w:tcW w:w="1885" w:type="dxa"/>
          </w:tcPr>
          <w:p w14:paraId="455114E5" w14:textId="7C0EBBAD" w:rsidR="00C947D5" w:rsidRPr="00D24138" w:rsidRDefault="00C947D5" w:rsidP="00C947D5">
            <w:r>
              <w:t>Blue Cross Blue Shield</w:t>
            </w:r>
          </w:p>
        </w:tc>
        <w:tc>
          <w:tcPr>
            <w:tcW w:w="1620" w:type="dxa"/>
          </w:tcPr>
          <w:p w14:paraId="529B727A" w14:textId="77777777" w:rsidR="00C947D5" w:rsidRPr="00D24138" w:rsidRDefault="00C947D5" w:rsidP="00C947D5"/>
        </w:tc>
        <w:tc>
          <w:tcPr>
            <w:tcW w:w="2880" w:type="dxa"/>
          </w:tcPr>
          <w:p w14:paraId="5C42CB57" w14:textId="77777777" w:rsidR="00C947D5" w:rsidRDefault="00C947D5" w:rsidP="00C947D5">
            <w:hyperlink r:id="rId8" w:history="1">
              <w:r>
                <w:rPr>
                  <w:rStyle w:val="Hyperlink"/>
                </w:rPr>
                <w:t>https://www.bcbsmt.com/company-info/community-involvement/community-giving</w:t>
              </w:r>
            </w:hyperlink>
          </w:p>
          <w:p w14:paraId="308391A1" w14:textId="77777777" w:rsidR="00C947D5" w:rsidRPr="00BE047B" w:rsidRDefault="00C947D5" w:rsidP="00C947D5">
            <w:pPr>
              <w:rPr>
                <w:rStyle w:val="Hyperlink"/>
              </w:rPr>
            </w:pPr>
          </w:p>
        </w:tc>
        <w:tc>
          <w:tcPr>
            <w:tcW w:w="5040" w:type="dxa"/>
          </w:tcPr>
          <w:p w14:paraId="4276A920" w14:textId="097FB8C7" w:rsidR="00C947D5" w:rsidRDefault="00C947D5" w:rsidP="00C947D5">
            <w:r>
              <w:t>Supports program-focused areas or provides operating support. Support organizations that align with mission to promote health, wellness, and human services in the communities BCBS serves.</w:t>
            </w:r>
          </w:p>
        </w:tc>
        <w:tc>
          <w:tcPr>
            <w:tcW w:w="1620" w:type="dxa"/>
          </w:tcPr>
          <w:p w14:paraId="5D431015" w14:textId="03E05A8D" w:rsidR="00C947D5" w:rsidRDefault="00C947D5" w:rsidP="00C947D5">
            <w:r>
              <w:t>Blue Cross Blue Shield</w:t>
            </w:r>
          </w:p>
        </w:tc>
        <w:tc>
          <w:tcPr>
            <w:tcW w:w="1170" w:type="dxa"/>
          </w:tcPr>
          <w:p w14:paraId="70CCDF33" w14:textId="77777777" w:rsidR="00C947D5" w:rsidRPr="00D24138" w:rsidRDefault="00C947D5" w:rsidP="00C947D5"/>
        </w:tc>
      </w:tr>
      <w:tr w:rsidR="00C947D5" w:rsidRPr="00D24138" w14:paraId="32A4D81D" w14:textId="77777777" w:rsidTr="009D4056">
        <w:trPr>
          <w:trHeight w:val="1367"/>
        </w:trPr>
        <w:tc>
          <w:tcPr>
            <w:tcW w:w="1885" w:type="dxa"/>
          </w:tcPr>
          <w:p w14:paraId="6695FFCF" w14:textId="6F15ACCC" w:rsidR="00C947D5" w:rsidRDefault="00C947D5" w:rsidP="00C947D5">
            <w:r>
              <w:t>BNSF Railway Foundation</w:t>
            </w:r>
          </w:p>
        </w:tc>
        <w:tc>
          <w:tcPr>
            <w:tcW w:w="1620" w:type="dxa"/>
          </w:tcPr>
          <w:p w14:paraId="23839958" w14:textId="77777777" w:rsidR="00C947D5" w:rsidRPr="00D24138" w:rsidRDefault="00C947D5" w:rsidP="00C947D5"/>
        </w:tc>
        <w:tc>
          <w:tcPr>
            <w:tcW w:w="2880" w:type="dxa"/>
          </w:tcPr>
          <w:p w14:paraId="2D9303C0" w14:textId="77777777" w:rsidR="00C947D5" w:rsidRDefault="00C947D5" w:rsidP="00C947D5">
            <w:hyperlink r:id="rId9" w:history="1">
              <w:r>
                <w:rPr>
                  <w:rStyle w:val="Hyperlink"/>
                </w:rPr>
                <w:t>http://www.bnsffoundation.org/</w:t>
              </w:r>
            </w:hyperlink>
          </w:p>
          <w:p w14:paraId="0A9E8317" w14:textId="77777777" w:rsidR="00C947D5" w:rsidRDefault="00C947D5" w:rsidP="00C947D5">
            <w:pPr>
              <w:rPr>
                <w:rStyle w:val="Hyperlink"/>
              </w:rPr>
            </w:pPr>
          </w:p>
        </w:tc>
        <w:tc>
          <w:tcPr>
            <w:tcW w:w="5040" w:type="dxa"/>
          </w:tcPr>
          <w:p w14:paraId="7E17ACB8" w14:textId="7C03971E" w:rsidR="00C947D5" w:rsidRDefault="00C947D5" w:rsidP="00C947D5">
            <w:r>
              <w:t>Supports and improves the general welfare and quality of life in the communities served by BNSF.</w:t>
            </w:r>
          </w:p>
        </w:tc>
        <w:tc>
          <w:tcPr>
            <w:tcW w:w="1620" w:type="dxa"/>
          </w:tcPr>
          <w:p w14:paraId="6D4A04DA" w14:textId="30C946D8" w:rsidR="00C947D5" w:rsidRDefault="00C947D5" w:rsidP="00C947D5">
            <w:r>
              <w:t>ongoing</w:t>
            </w:r>
          </w:p>
        </w:tc>
        <w:tc>
          <w:tcPr>
            <w:tcW w:w="1170" w:type="dxa"/>
          </w:tcPr>
          <w:p w14:paraId="4BA922B2" w14:textId="77777777" w:rsidR="00C947D5" w:rsidRPr="00D24138" w:rsidRDefault="00C947D5" w:rsidP="00C947D5"/>
        </w:tc>
      </w:tr>
      <w:tr w:rsidR="00C947D5" w:rsidRPr="00D24138" w14:paraId="445AE40D" w14:textId="77777777" w:rsidTr="009D4056">
        <w:trPr>
          <w:trHeight w:val="1367"/>
        </w:trPr>
        <w:tc>
          <w:tcPr>
            <w:tcW w:w="1885" w:type="dxa"/>
          </w:tcPr>
          <w:p w14:paraId="093F58B4" w14:textId="6976A014" w:rsidR="00C947D5" w:rsidRDefault="00C947D5" w:rsidP="00C947D5">
            <w:r>
              <w:t>Browning-Kimball Foundation</w:t>
            </w:r>
          </w:p>
        </w:tc>
        <w:tc>
          <w:tcPr>
            <w:tcW w:w="1620" w:type="dxa"/>
          </w:tcPr>
          <w:p w14:paraId="5E3AAD42" w14:textId="77777777" w:rsidR="00C947D5" w:rsidRPr="00D24138" w:rsidRDefault="00C947D5" w:rsidP="00C947D5"/>
        </w:tc>
        <w:tc>
          <w:tcPr>
            <w:tcW w:w="2880" w:type="dxa"/>
          </w:tcPr>
          <w:p w14:paraId="06E81129" w14:textId="77777777" w:rsidR="00C947D5" w:rsidRDefault="00C947D5" w:rsidP="00C947D5">
            <w:hyperlink r:id="rId10" w:history="1">
              <w:r>
                <w:rPr>
                  <w:rStyle w:val="Hyperlink"/>
                </w:rPr>
                <w:t>https://fmiokc.com/clients/browning-kimball/</w:t>
              </w:r>
            </w:hyperlink>
          </w:p>
          <w:p w14:paraId="0C159BD7" w14:textId="77777777" w:rsidR="00C947D5" w:rsidRDefault="00C947D5" w:rsidP="00C947D5">
            <w:pPr>
              <w:rPr>
                <w:rStyle w:val="Hyperlink"/>
              </w:rPr>
            </w:pPr>
          </w:p>
        </w:tc>
        <w:tc>
          <w:tcPr>
            <w:tcW w:w="5040" w:type="dxa"/>
          </w:tcPr>
          <w:p w14:paraId="340838EF" w14:textId="0FE708F8" w:rsidR="00C947D5" w:rsidRDefault="00C947D5" w:rsidP="00C947D5">
            <w:r>
              <w:t>C</w:t>
            </w:r>
            <w:r w:rsidRPr="00563267">
              <w:t>ommitted to improving the quality of life through support of youth and families, health with an emphasis on prevention, arts and humanities, and sustainable agriculture.</w:t>
            </w:r>
            <w:r>
              <w:t xml:space="preserve"> Preference given to organizations in central Montana.</w:t>
            </w:r>
          </w:p>
        </w:tc>
        <w:tc>
          <w:tcPr>
            <w:tcW w:w="1620" w:type="dxa"/>
          </w:tcPr>
          <w:p w14:paraId="3A7CFAA6" w14:textId="2D4FD8FA" w:rsidR="00C947D5" w:rsidRDefault="00C947D5" w:rsidP="00C947D5">
            <w:r>
              <w:t xml:space="preserve">LOI due by March 1 </w:t>
            </w:r>
          </w:p>
        </w:tc>
        <w:tc>
          <w:tcPr>
            <w:tcW w:w="1170" w:type="dxa"/>
          </w:tcPr>
          <w:p w14:paraId="67A87344" w14:textId="77777777" w:rsidR="00C947D5" w:rsidRPr="00D24138" w:rsidRDefault="00C947D5" w:rsidP="00C947D5"/>
        </w:tc>
      </w:tr>
      <w:tr w:rsidR="00C947D5" w:rsidRPr="00D24138" w14:paraId="608DF5A6" w14:textId="77777777" w:rsidTr="00C947D5">
        <w:trPr>
          <w:trHeight w:val="2555"/>
        </w:trPr>
        <w:tc>
          <w:tcPr>
            <w:tcW w:w="1885" w:type="dxa"/>
          </w:tcPr>
          <w:p w14:paraId="726CEECE" w14:textId="64918E51" w:rsidR="00C947D5" w:rsidRDefault="00C947D5" w:rsidP="00C947D5">
            <w:r w:rsidRPr="00D24138">
              <w:t>Dennis and Phyllis Washington Foundation</w:t>
            </w:r>
          </w:p>
        </w:tc>
        <w:tc>
          <w:tcPr>
            <w:tcW w:w="1620" w:type="dxa"/>
          </w:tcPr>
          <w:p w14:paraId="58125C3B" w14:textId="77777777" w:rsidR="00C947D5" w:rsidRPr="00D24138" w:rsidRDefault="00C947D5" w:rsidP="00C947D5"/>
        </w:tc>
        <w:tc>
          <w:tcPr>
            <w:tcW w:w="2880" w:type="dxa"/>
          </w:tcPr>
          <w:p w14:paraId="536925F7" w14:textId="3F0D9FEE" w:rsidR="00C947D5" w:rsidRDefault="00C947D5" w:rsidP="00C947D5">
            <w:pPr>
              <w:rPr>
                <w:rStyle w:val="Hyperlink"/>
              </w:rPr>
            </w:pPr>
            <w:hyperlink r:id="rId11" w:history="1">
              <w:r w:rsidRPr="00C56BC0">
                <w:rPr>
                  <w:rStyle w:val="Hyperlink"/>
                </w:rPr>
                <w:t>https://www.dpwfoundation.org/grants/</w:t>
              </w:r>
            </w:hyperlink>
          </w:p>
        </w:tc>
        <w:tc>
          <w:tcPr>
            <w:tcW w:w="5040" w:type="dxa"/>
          </w:tcPr>
          <w:p w14:paraId="08BD3386" w14:textId="77777777" w:rsidR="00C947D5" w:rsidRPr="00D24138" w:rsidRDefault="00C947D5" w:rsidP="00C947D5">
            <w:r w:rsidRPr="00D24138">
              <w:t xml:space="preserve">Funding for organizations that support </w:t>
            </w:r>
            <w:hyperlink r:id="rId12" w:anchor="education" w:tooltip="Areas of Focus" w:history="1">
              <w:r w:rsidRPr="00D24138">
                <w:t>education</w:t>
              </w:r>
            </w:hyperlink>
            <w:r w:rsidRPr="00D24138">
              <w:t xml:space="preserve">, </w:t>
            </w:r>
            <w:hyperlink r:id="rId13" w:anchor="health" w:tooltip="Areas of Focus" w:history="1">
              <w:r w:rsidRPr="00D24138">
                <w:t>health</w:t>
              </w:r>
            </w:hyperlink>
            <w:r w:rsidRPr="00D24138">
              <w:t xml:space="preserve"> and human services, arts and culture, and community service.</w:t>
            </w:r>
          </w:p>
          <w:p w14:paraId="03E2491B" w14:textId="77777777" w:rsidR="00C947D5" w:rsidRDefault="00C947D5" w:rsidP="00C947D5">
            <w:bookmarkStart w:id="0" w:name="_GoBack"/>
            <w:bookmarkEnd w:id="0"/>
          </w:p>
        </w:tc>
        <w:tc>
          <w:tcPr>
            <w:tcW w:w="1620" w:type="dxa"/>
          </w:tcPr>
          <w:p w14:paraId="1B1B3227" w14:textId="5D6E48C9" w:rsidR="00C947D5" w:rsidRDefault="00C947D5" w:rsidP="00C947D5">
            <w:r w:rsidRPr="00D24138">
              <w:t>Ongoing</w:t>
            </w:r>
          </w:p>
        </w:tc>
        <w:tc>
          <w:tcPr>
            <w:tcW w:w="1170" w:type="dxa"/>
          </w:tcPr>
          <w:p w14:paraId="7D5FD57C" w14:textId="71385A55" w:rsidR="00C947D5" w:rsidRPr="00D24138" w:rsidRDefault="00C947D5" w:rsidP="00C947D5"/>
        </w:tc>
      </w:tr>
      <w:tr w:rsidR="005643F3" w:rsidRPr="00D24138" w14:paraId="5359101C" w14:textId="77777777" w:rsidTr="00F42FC5">
        <w:trPr>
          <w:trHeight w:val="358"/>
        </w:trPr>
        <w:tc>
          <w:tcPr>
            <w:tcW w:w="1885" w:type="dxa"/>
          </w:tcPr>
          <w:p w14:paraId="4B219911" w14:textId="63DFDD3C" w:rsidR="005643F3" w:rsidRPr="00D24138" w:rsidRDefault="005643F3" w:rsidP="005643F3">
            <w:r w:rsidRPr="009D4056">
              <w:rPr>
                <w:b/>
              </w:rPr>
              <w:lastRenderedPageBreak/>
              <w:t>Funder</w:t>
            </w:r>
            <w:r>
              <w:rPr>
                <w:b/>
              </w:rPr>
              <w:t>/Partner</w:t>
            </w:r>
          </w:p>
        </w:tc>
        <w:tc>
          <w:tcPr>
            <w:tcW w:w="1620" w:type="dxa"/>
          </w:tcPr>
          <w:p w14:paraId="62FA086D" w14:textId="1E3736D1" w:rsidR="005643F3" w:rsidRDefault="005643F3" w:rsidP="005643F3">
            <w:r w:rsidRPr="009D4056">
              <w:rPr>
                <w:b/>
              </w:rPr>
              <w:t>Grant</w:t>
            </w:r>
          </w:p>
        </w:tc>
        <w:tc>
          <w:tcPr>
            <w:tcW w:w="2880" w:type="dxa"/>
          </w:tcPr>
          <w:p w14:paraId="2D2222FA" w14:textId="473EB89B" w:rsidR="005643F3" w:rsidRDefault="005643F3" w:rsidP="005643F3">
            <w:pPr>
              <w:rPr>
                <w:rStyle w:val="Hyperlink"/>
              </w:rPr>
            </w:pPr>
            <w:r w:rsidRPr="009D4056">
              <w:rPr>
                <w:b/>
              </w:rPr>
              <w:t>Website</w:t>
            </w:r>
          </w:p>
        </w:tc>
        <w:tc>
          <w:tcPr>
            <w:tcW w:w="5040" w:type="dxa"/>
          </w:tcPr>
          <w:p w14:paraId="11A4A172" w14:textId="4C3CF37D" w:rsidR="005643F3" w:rsidRPr="00FF578C" w:rsidRDefault="005643F3" w:rsidP="005643F3">
            <w:pPr>
              <w:rPr>
                <w:color w:val="333333"/>
                <w:shd w:val="clear" w:color="auto" w:fill="FFFFFF"/>
              </w:rPr>
            </w:pPr>
            <w:r w:rsidRPr="009D4056">
              <w:rPr>
                <w:b/>
              </w:rPr>
              <w:t>Purpose</w:t>
            </w:r>
          </w:p>
        </w:tc>
        <w:tc>
          <w:tcPr>
            <w:tcW w:w="1620" w:type="dxa"/>
          </w:tcPr>
          <w:p w14:paraId="73D256F8" w14:textId="5955F2CD" w:rsidR="005643F3" w:rsidRPr="00D24138" w:rsidRDefault="005643F3" w:rsidP="005643F3">
            <w:r w:rsidRPr="009D4056">
              <w:rPr>
                <w:b/>
              </w:rPr>
              <w:t>Approximate Due Date</w:t>
            </w:r>
          </w:p>
        </w:tc>
        <w:tc>
          <w:tcPr>
            <w:tcW w:w="1170" w:type="dxa"/>
          </w:tcPr>
          <w:p w14:paraId="675F7003" w14:textId="51508DFE" w:rsidR="005643F3" w:rsidRPr="00D24138" w:rsidRDefault="005643F3" w:rsidP="005643F3">
            <w:r w:rsidRPr="009D4056">
              <w:rPr>
                <w:b/>
              </w:rPr>
              <w:t>Funding Range</w:t>
            </w:r>
          </w:p>
        </w:tc>
      </w:tr>
      <w:tr w:rsidR="005643F3" w:rsidRPr="00D24138" w14:paraId="74743E20" w14:textId="77777777" w:rsidTr="00F42FC5">
        <w:trPr>
          <w:trHeight w:val="358"/>
        </w:trPr>
        <w:tc>
          <w:tcPr>
            <w:tcW w:w="1885" w:type="dxa"/>
          </w:tcPr>
          <w:p w14:paraId="71150CE4" w14:textId="77777777" w:rsidR="005643F3" w:rsidRPr="00D24138" w:rsidRDefault="005643F3" w:rsidP="005643F3">
            <w:r w:rsidRPr="00D24138">
              <w:t>Humanities Montana</w:t>
            </w:r>
          </w:p>
        </w:tc>
        <w:tc>
          <w:tcPr>
            <w:tcW w:w="1620" w:type="dxa"/>
          </w:tcPr>
          <w:p w14:paraId="4F9C6DA1" w14:textId="77777777" w:rsidR="005643F3" w:rsidRPr="00D24138" w:rsidRDefault="005643F3" w:rsidP="005643F3">
            <w:r>
              <w:t>Regular and opportunity grants, research fellowships, film and video grants</w:t>
            </w:r>
          </w:p>
        </w:tc>
        <w:tc>
          <w:tcPr>
            <w:tcW w:w="2880" w:type="dxa"/>
          </w:tcPr>
          <w:p w14:paraId="3F269B6C" w14:textId="77777777" w:rsidR="005643F3" w:rsidRPr="00D24138" w:rsidRDefault="005643F3" w:rsidP="005643F3">
            <w:hyperlink r:id="rId14" w:history="1">
              <w:r>
                <w:rPr>
                  <w:rStyle w:val="Hyperlink"/>
                </w:rPr>
                <w:t>http://www.humanitiesmontana.org/</w:t>
              </w:r>
            </w:hyperlink>
          </w:p>
        </w:tc>
        <w:tc>
          <w:tcPr>
            <w:tcW w:w="5040" w:type="dxa"/>
          </w:tcPr>
          <w:p w14:paraId="47254138" w14:textId="77777777" w:rsidR="005643F3" w:rsidRPr="00FF578C" w:rsidRDefault="005643F3" w:rsidP="005643F3">
            <w:r w:rsidRPr="00FF578C">
              <w:rPr>
                <w:color w:val="333333"/>
                <w:shd w:val="clear" w:color="auto" w:fill="FFFFFF"/>
              </w:rPr>
              <w:t>Encourage proposals that engage Montanans in meaningful discussion about the human condition, strengthen cooperative relationships among communities and cultural organizations (museums, libraries, schools, tribal organizations, etc.), and enrich civic discourse among the state’s diverse cultures and across its geographical distances.</w:t>
            </w:r>
          </w:p>
        </w:tc>
        <w:tc>
          <w:tcPr>
            <w:tcW w:w="1620" w:type="dxa"/>
          </w:tcPr>
          <w:p w14:paraId="7B43EA04" w14:textId="77777777" w:rsidR="005643F3" w:rsidRPr="00D24138" w:rsidRDefault="005643F3" w:rsidP="005643F3"/>
        </w:tc>
        <w:tc>
          <w:tcPr>
            <w:tcW w:w="1170" w:type="dxa"/>
          </w:tcPr>
          <w:p w14:paraId="77759223" w14:textId="77777777" w:rsidR="005643F3" w:rsidRPr="00D24138" w:rsidRDefault="005643F3" w:rsidP="005643F3"/>
        </w:tc>
      </w:tr>
      <w:tr w:rsidR="005643F3" w:rsidRPr="00D24138" w14:paraId="6216BAFD" w14:textId="77777777" w:rsidTr="00F42FC5">
        <w:trPr>
          <w:trHeight w:val="358"/>
        </w:trPr>
        <w:tc>
          <w:tcPr>
            <w:tcW w:w="1885" w:type="dxa"/>
          </w:tcPr>
          <w:p w14:paraId="5C7B378C" w14:textId="21711B88" w:rsidR="005643F3" w:rsidRPr="00D24138" w:rsidRDefault="005643F3" w:rsidP="005643F3">
            <w:r w:rsidRPr="00D24138">
              <w:t>Jerry Metcalf Foundation</w:t>
            </w:r>
          </w:p>
        </w:tc>
        <w:tc>
          <w:tcPr>
            <w:tcW w:w="1620" w:type="dxa"/>
          </w:tcPr>
          <w:p w14:paraId="7E0ECBCC" w14:textId="77777777" w:rsidR="005643F3" w:rsidRDefault="005643F3" w:rsidP="005643F3"/>
        </w:tc>
        <w:tc>
          <w:tcPr>
            <w:tcW w:w="2880" w:type="dxa"/>
          </w:tcPr>
          <w:p w14:paraId="18AD5E6D" w14:textId="0B3A05AE" w:rsidR="005643F3" w:rsidRDefault="005643F3" w:rsidP="005643F3">
            <w:pPr>
              <w:rPr>
                <w:rStyle w:val="Hyperlink"/>
              </w:rPr>
            </w:pPr>
            <w:hyperlink r:id="rId15" w:history="1">
              <w:r w:rsidRPr="00C56BC0">
                <w:rPr>
                  <w:rStyle w:val="Hyperlink"/>
                </w:rPr>
                <w:t>http://www.jerrymetcalfmontana.org/grantguidelines.html</w:t>
              </w:r>
            </w:hyperlink>
          </w:p>
        </w:tc>
        <w:tc>
          <w:tcPr>
            <w:tcW w:w="5040" w:type="dxa"/>
          </w:tcPr>
          <w:p w14:paraId="4E0C4540" w14:textId="4BF88C72" w:rsidR="005643F3" w:rsidRPr="00FF578C" w:rsidRDefault="005643F3" w:rsidP="005643F3">
            <w:pPr>
              <w:rPr>
                <w:color w:val="333333"/>
                <w:shd w:val="clear" w:color="auto" w:fill="FFFFFF"/>
              </w:rPr>
            </w:pPr>
            <w:r>
              <w:t>Supports</w:t>
            </w:r>
            <w:r w:rsidRPr="00D24138">
              <w:t xml:space="preserve"> the visual, performing, and literary arts; historical research and preservation; environmental</w:t>
            </w:r>
            <w:r>
              <w:t xml:space="preserve"> research and conservation; and</w:t>
            </w:r>
            <w:r w:rsidRPr="00D24138">
              <w:t xml:space="preserve"> education and community health</w:t>
            </w:r>
            <w:r>
              <w:t>.</w:t>
            </w:r>
          </w:p>
        </w:tc>
        <w:tc>
          <w:tcPr>
            <w:tcW w:w="1620" w:type="dxa"/>
          </w:tcPr>
          <w:p w14:paraId="47C9974B" w14:textId="1930E003" w:rsidR="005643F3" w:rsidRPr="00D24138" w:rsidRDefault="005643F3" w:rsidP="005643F3">
            <w:r w:rsidRPr="00D24138">
              <w:t xml:space="preserve">LOI </w:t>
            </w:r>
            <w:r>
              <w:t xml:space="preserve">and application </w:t>
            </w:r>
            <w:r w:rsidRPr="00D24138">
              <w:t>due March 15</w:t>
            </w:r>
          </w:p>
        </w:tc>
        <w:tc>
          <w:tcPr>
            <w:tcW w:w="1170" w:type="dxa"/>
          </w:tcPr>
          <w:p w14:paraId="1BBDF96E" w14:textId="030E8A77" w:rsidR="005643F3" w:rsidRPr="00D24138" w:rsidRDefault="005643F3" w:rsidP="005643F3">
            <w:r w:rsidRPr="00D24138">
              <w:t>$1,000-$15,000</w:t>
            </w:r>
          </w:p>
        </w:tc>
      </w:tr>
      <w:tr w:rsidR="005643F3" w:rsidRPr="00D24138" w14:paraId="24601119" w14:textId="77777777" w:rsidTr="00F42FC5">
        <w:trPr>
          <w:trHeight w:val="358"/>
        </w:trPr>
        <w:tc>
          <w:tcPr>
            <w:tcW w:w="1885" w:type="dxa"/>
          </w:tcPr>
          <w:p w14:paraId="14076DC8" w14:textId="5B70A2C8" w:rsidR="005643F3" w:rsidRPr="00D24138" w:rsidRDefault="005643F3" w:rsidP="005643F3">
            <w:r w:rsidRPr="00D24138">
              <w:t>Montana Arts Council</w:t>
            </w:r>
          </w:p>
        </w:tc>
        <w:tc>
          <w:tcPr>
            <w:tcW w:w="1620" w:type="dxa"/>
          </w:tcPr>
          <w:p w14:paraId="7C0B6007" w14:textId="77777777" w:rsidR="005643F3" w:rsidRDefault="005643F3" w:rsidP="005643F3"/>
        </w:tc>
        <w:tc>
          <w:tcPr>
            <w:tcW w:w="2880" w:type="dxa"/>
          </w:tcPr>
          <w:p w14:paraId="5B6FEC98" w14:textId="0B21CCA5" w:rsidR="005643F3" w:rsidRDefault="005643F3" w:rsidP="005643F3">
            <w:pPr>
              <w:rPr>
                <w:rStyle w:val="Hyperlink"/>
              </w:rPr>
            </w:pPr>
            <w:r w:rsidRPr="001A2588">
              <w:rPr>
                <w:rStyle w:val="Hyperlink"/>
              </w:rPr>
              <w:t>https://art.mt.gov/grants_awards_comm_home</w:t>
            </w:r>
          </w:p>
        </w:tc>
        <w:tc>
          <w:tcPr>
            <w:tcW w:w="5040" w:type="dxa"/>
          </w:tcPr>
          <w:p w14:paraId="6FD46D64" w14:textId="2AB47E54" w:rsidR="005643F3" w:rsidRDefault="005643F3" w:rsidP="005643F3">
            <w:r w:rsidRPr="00D24138">
              <w:t>Develop the creative potential of all Montanans, advance education, spur economic vibrancy and revitalize communities through involvement in the arts.</w:t>
            </w:r>
          </w:p>
        </w:tc>
        <w:tc>
          <w:tcPr>
            <w:tcW w:w="1620" w:type="dxa"/>
          </w:tcPr>
          <w:p w14:paraId="43757DEE" w14:textId="77777777" w:rsidR="005643F3" w:rsidRPr="00D24138" w:rsidRDefault="005643F3" w:rsidP="005643F3"/>
        </w:tc>
        <w:tc>
          <w:tcPr>
            <w:tcW w:w="1170" w:type="dxa"/>
          </w:tcPr>
          <w:p w14:paraId="0D6CDCD2" w14:textId="0B22B952" w:rsidR="005643F3" w:rsidRPr="00D24138" w:rsidRDefault="005643F3" w:rsidP="005643F3"/>
        </w:tc>
      </w:tr>
      <w:tr w:rsidR="005643F3" w:rsidRPr="005643F3" w14:paraId="50DDB9DE" w14:textId="77777777" w:rsidTr="00F42FC5">
        <w:trPr>
          <w:trHeight w:val="358"/>
        </w:trPr>
        <w:tc>
          <w:tcPr>
            <w:tcW w:w="1885" w:type="dxa"/>
          </w:tcPr>
          <w:p w14:paraId="6572D315" w14:textId="77EC6148" w:rsidR="005643F3" w:rsidRPr="005643F3" w:rsidRDefault="005643F3" w:rsidP="005643F3">
            <w:pPr>
              <w:rPr>
                <w:b/>
              </w:rPr>
            </w:pPr>
            <w:r w:rsidRPr="00D24138">
              <w:t>Montana Community Foundation</w:t>
            </w:r>
          </w:p>
        </w:tc>
        <w:tc>
          <w:tcPr>
            <w:tcW w:w="1620" w:type="dxa"/>
          </w:tcPr>
          <w:p w14:paraId="0118BA1A" w14:textId="77777777" w:rsidR="005643F3" w:rsidRPr="005643F3" w:rsidRDefault="005643F3" w:rsidP="005643F3">
            <w:pPr>
              <w:rPr>
                <w:b/>
              </w:rPr>
            </w:pPr>
          </w:p>
        </w:tc>
        <w:tc>
          <w:tcPr>
            <w:tcW w:w="2880" w:type="dxa"/>
          </w:tcPr>
          <w:p w14:paraId="2CA83962" w14:textId="425CF779" w:rsidR="005643F3" w:rsidRPr="005643F3" w:rsidRDefault="005643F3" w:rsidP="005643F3">
            <w:pPr>
              <w:rPr>
                <w:rStyle w:val="Hyperlink"/>
                <w:b/>
              </w:rPr>
            </w:pPr>
            <w:r w:rsidRPr="007616E0">
              <w:rPr>
                <w:rStyle w:val="Hyperlink"/>
              </w:rPr>
              <w:t>https://mtcf.org/grants/about-grants</w:t>
            </w:r>
          </w:p>
        </w:tc>
        <w:tc>
          <w:tcPr>
            <w:tcW w:w="5040" w:type="dxa"/>
          </w:tcPr>
          <w:p w14:paraId="038EC197" w14:textId="77777777" w:rsidR="005643F3" w:rsidRPr="00D24138" w:rsidRDefault="005643F3" w:rsidP="005643F3">
            <w:r w:rsidRPr="00D24138">
              <w:t>Funds fields of interest such as human services, affordable housing, public education, or the performing arts.</w:t>
            </w:r>
          </w:p>
          <w:p w14:paraId="4CAE3872" w14:textId="77777777" w:rsidR="005643F3" w:rsidRPr="005643F3" w:rsidRDefault="005643F3" w:rsidP="005643F3">
            <w:pPr>
              <w:rPr>
                <w:b/>
              </w:rPr>
            </w:pPr>
          </w:p>
        </w:tc>
        <w:tc>
          <w:tcPr>
            <w:tcW w:w="1620" w:type="dxa"/>
          </w:tcPr>
          <w:p w14:paraId="52B85C92" w14:textId="77777777" w:rsidR="005643F3" w:rsidRPr="005643F3" w:rsidRDefault="005643F3" w:rsidP="005643F3">
            <w:pPr>
              <w:rPr>
                <w:b/>
              </w:rPr>
            </w:pPr>
          </w:p>
        </w:tc>
        <w:tc>
          <w:tcPr>
            <w:tcW w:w="1170" w:type="dxa"/>
          </w:tcPr>
          <w:p w14:paraId="05C42575" w14:textId="409E11EE" w:rsidR="005643F3" w:rsidRPr="005643F3" w:rsidRDefault="005643F3" w:rsidP="005643F3">
            <w:pPr>
              <w:rPr>
                <w:b/>
              </w:rPr>
            </w:pPr>
          </w:p>
        </w:tc>
      </w:tr>
      <w:tr w:rsidR="005643F3" w:rsidRPr="005643F3" w14:paraId="34868869" w14:textId="77777777" w:rsidTr="00F42FC5">
        <w:trPr>
          <w:trHeight w:val="358"/>
        </w:trPr>
        <w:tc>
          <w:tcPr>
            <w:tcW w:w="1885" w:type="dxa"/>
          </w:tcPr>
          <w:p w14:paraId="30486741" w14:textId="72EBCFDE" w:rsidR="005643F3" w:rsidRPr="00D24138" w:rsidRDefault="005643F3" w:rsidP="005643F3">
            <w:r w:rsidRPr="00D24138">
              <w:t xml:space="preserve">Montana </w:t>
            </w:r>
            <w:r>
              <w:t>Department of Commerce</w:t>
            </w:r>
          </w:p>
        </w:tc>
        <w:tc>
          <w:tcPr>
            <w:tcW w:w="1620" w:type="dxa"/>
          </w:tcPr>
          <w:p w14:paraId="64ADE4B4" w14:textId="5B9261E5" w:rsidR="005643F3" w:rsidRPr="005643F3" w:rsidRDefault="005643F3" w:rsidP="005643F3">
            <w:pPr>
              <w:rPr>
                <w:b/>
              </w:rPr>
            </w:pPr>
            <w:r w:rsidRPr="00D24138">
              <w:t xml:space="preserve">Montana </w:t>
            </w:r>
            <w:r>
              <w:t>Community Development Block Grant Program</w:t>
            </w:r>
          </w:p>
        </w:tc>
        <w:tc>
          <w:tcPr>
            <w:tcW w:w="2880" w:type="dxa"/>
          </w:tcPr>
          <w:p w14:paraId="7E2BC127" w14:textId="19C27DEA" w:rsidR="005643F3" w:rsidRPr="007616E0" w:rsidRDefault="005643F3" w:rsidP="005643F3">
            <w:pPr>
              <w:rPr>
                <w:rStyle w:val="Hyperlink"/>
              </w:rPr>
            </w:pPr>
            <w:r w:rsidRPr="00BE047B">
              <w:rPr>
                <w:rStyle w:val="Hyperlink"/>
              </w:rPr>
              <w:t>https://comdev.mt.gov/Programs-and-Boards/Community-Development-Block-Grant-Program/Economic-Development</w:t>
            </w:r>
          </w:p>
        </w:tc>
        <w:tc>
          <w:tcPr>
            <w:tcW w:w="5040" w:type="dxa"/>
          </w:tcPr>
          <w:p w14:paraId="6F9DE75B" w14:textId="556526D0" w:rsidR="005643F3" w:rsidRPr="00D24138" w:rsidRDefault="005643F3" w:rsidP="005643F3">
            <w:r>
              <w:t>D</w:t>
            </w:r>
            <w:r w:rsidRPr="00BE047B">
              <w:t>esigned to stimulate economic development activity by assisting Montana’s private sector to create or retain jobs for low- to moderate-income Montanans</w:t>
            </w:r>
            <w:r>
              <w:t>.</w:t>
            </w:r>
          </w:p>
        </w:tc>
        <w:tc>
          <w:tcPr>
            <w:tcW w:w="1620" w:type="dxa"/>
          </w:tcPr>
          <w:p w14:paraId="17C1875F" w14:textId="248EEB3B" w:rsidR="005643F3" w:rsidRPr="005643F3" w:rsidRDefault="005643F3" w:rsidP="005643F3">
            <w:pPr>
              <w:rPr>
                <w:b/>
              </w:rPr>
            </w:pPr>
            <w:r>
              <w:t>Ongoing</w:t>
            </w:r>
          </w:p>
        </w:tc>
        <w:tc>
          <w:tcPr>
            <w:tcW w:w="1170" w:type="dxa"/>
          </w:tcPr>
          <w:p w14:paraId="7672FDFB" w14:textId="3E00D2A6" w:rsidR="005643F3" w:rsidRPr="00D24138" w:rsidRDefault="005643F3" w:rsidP="005643F3"/>
        </w:tc>
      </w:tr>
      <w:tr w:rsidR="005643F3" w:rsidRPr="005643F3" w14:paraId="429B6920" w14:textId="77777777" w:rsidTr="00F42FC5">
        <w:trPr>
          <w:trHeight w:val="358"/>
        </w:trPr>
        <w:tc>
          <w:tcPr>
            <w:tcW w:w="1885" w:type="dxa"/>
          </w:tcPr>
          <w:p w14:paraId="1AEEE8A4" w14:textId="545C0A7A" w:rsidR="005643F3" w:rsidRPr="00D24138" w:rsidRDefault="005643F3" w:rsidP="005643F3">
            <w:r w:rsidRPr="00D24138">
              <w:t>Montana Dept</w:t>
            </w:r>
            <w:r>
              <w:t xml:space="preserve">. of Commerce </w:t>
            </w:r>
          </w:p>
        </w:tc>
        <w:tc>
          <w:tcPr>
            <w:tcW w:w="1620" w:type="dxa"/>
          </w:tcPr>
          <w:p w14:paraId="5A5FA95A" w14:textId="6A0ABC84" w:rsidR="005643F3" w:rsidRPr="00D24138" w:rsidRDefault="005643F3" w:rsidP="005643F3">
            <w:r>
              <w:t xml:space="preserve">The </w:t>
            </w:r>
            <w:r w:rsidRPr="00D24138">
              <w:t>Montana Main Street Program</w:t>
            </w:r>
          </w:p>
        </w:tc>
        <w:tc>
          <w:tcPr>
            <w:tcW w:w="2880" w:type="dxa"/>
          </w:tcPr>
          <w:p w14:paraId="22F0D05E" w14:textId="38EEF7C2" w:rsidR="005643F3" w:rsidRPr="00BE047B" w:rsidRDefault="005643F3" w:rsidP="005643F3">
            <w:pPr>
              <w:rPr>
                <w:rStyle w:val="Hyperlink"/>
              </w:rPr>
            </w:pPr>
            <w:r w:rsidRPr="00DA1931">
              <w:rPr>
                <w:rStyle w:val="Hyperlink"/>
              </w:rPr>
              <w:t>https://comdev.mt.gov/Programs-and-Boards/Montana-Main-Street-Program/</w:t>
            </w:r>
          </w:p>
        </w:tc>
        <w:tc>
          <w:tcPr>
            <w:tcW w:w="5040" w:type="dxa"/>
          </w:tcPr>
          <w:p w14:paraId="0B76647E" w14:textId="42A3A538" w:rsidR="005643F3" w:rsidRDefault="005643F3" w:rsidP="005643F3">
            <w:r w:rsidRPr="00D24138">
              <w:t>Helps communities strengthen and preserve their historic downtown commercial districts by focusing on economic development, urban revitalization, and historic preservation through long-range planning, organization, design, and promotion.</w:t>
            </w:r>
          </w:p>
        </w:tc>
        <w:tc>
          <w:tcPr>
            <w:tcW w:w="1620" w:type="dxa"/>
          </w:tcPr>
          <w:p w14:paraId="57F9EE0B" w14:textId="1B0623B9" w:rsidR="005643F3" w:rsidRDefault="005643F3" w:rsidP="005643F3">
            <w:r>
              <w:t>December 9</w:t>
            </w:r>
          </w:p>
        </w:tc>
        <w:tc>
          <w:tcPr>
            <w:tcW w:w="1170" w:type="dxa"/>
          </w:tcPr>
          <w:p w14:paraId="2A2E05A6" w14:textId="55952388" w:rsidR="005643F3" w:rsidRPr="00D24138" w:rsidRDefault="005643F3" w:rsidP="005643F3">
            <w:r w:rsidRPr="00D24138">
              <w:t>Max of $10,000</w:t>
            </w:r>
          </w:p>
        </w:tc>
      </w:tr>
      <w:tr w:rsidR="005643F3" w:rsidRPr="00D24138" w14:paraId="16CE9C1D" w14:textId="77777777" w:rsidTr="00F42FC5">
        <w:trPr>
          <w:trHeight w:val="358"/>
        </w:trPr>
        <w:tc>
          <w:tcPr>
            <w:tcW w:w="1885" w:type="dxa"/>
          </w:tcPr>
          <w:p w14:paraId="79C89F2D" w14:textId="2D8CFC74" w:rsidR="005643F3" w:rsidRPr="00D24138" w:rsidRDefault="005643F3" w:rsidP="005643F3">
            <w:r w:rsidRPr="00D24138">
              <w:t>MDU Resources Foundation</w:t>
            </w:r>
          </w:p>
        </w:tc>
        <w:tc>
          <w:tcPr>
            <w:tcW w:w="1620" w:type="dxa"/>
          </w:tcPr>
          <w:p w14:paraId="208F848D" w14:textId="77777777" w:rsidR="005643F3" w:rsidRDefault="005643F3" w:rsidP="005643F3"/>
        </w:tc>
        <w:tc>
          <w:tcPr>
            <w:tcW w:w="2880" w:type="dxa"/>
          </w:tcPr>
          <w:p w14:paraId="3CDCCACC" w14:textId="14BDAE82" w:rsidR="005643F3" w:rsidRDefault="005643F3" w:rsidP="005643F3">
            <w:pPr>
              <w:rPr>
                <w:rStyle w:val="Hyperlink"/>
              </w:rPr>
            </w:pPr>
            <w:hyperlink r:id="rId16" w:history="1">
              <w:r w:rsidRPr="00AF37CA">
                <w:rPr>
                  <w:rStyle w:val="Hyperlink"/>
                </w:rPr>
                <w:t>https://www.mdu.com/about-us/community/</w:t>
              </w:r>
            </w:hyperlink>
            <w:r>
              <w:t xml:space="preserve">  </w:t>
            </w:r>
          </w:p>
        </w:tc>
        <w:tc>
          <w:tcPr>
            <w:tcW w:w="5040" w:type="dxa"/>
          </w:tcPr>
          <w:p w14:paraId="7D5CC913" w14:textId="4BDC65D3" w:rsidR="005643F3" w:rsidRDefault="005643F3" w:rsidP="005643F3">
            <w:r w:rsidRPr="00D24138">
              <w:t>Grants supporting arts, culture, education, health and community development in communities where MDU Resources operates</w:t>
            </w:r>
            <w:r>
              <w:t>.</w:t>
            </w:r>
          </w:p>
        </w:tc>
        <w:tc>
          <w:tcPr>
            <w:tcW w:w="1620" w:type="dxa"/>
          </w:tcPr>
          <w:p w14:paraId="6B9ADD5A" w14:textId="613B3D1F" w:rsidR="005643F3" w:rsidRPr="00D24138" w:rsidRDefault="005643F3" w:rsidP="005643F3">
            <w:r w:rsidRPr="00D24138">
              <w:t>October 1</w:t>
            </w:r>
          </w:p>
        </w:tc>
        <w:tc>
          <w:tcPr>
            <w:tcW w:w="1170" w:type="dxa"/>
          </w:tcPr>
          <w:p w14:paraId="2F2AC4DA" w14:textId="7A7866D3" w:rsidR="005643F3" w:rsidRPr="00D24138" w:rsidRDefault="005643F3" w:rsidP="005643F3"/>
        </w:tc>
      </w:tr>
      <w:tr w:rsidR="005643F3" w:rsidRPr="00D24138" w14:paraId="7F817903" w14:textId="77777777" w:rsidTr="00F42FC5">
        <w:trPr>
          <w:trHeight w:val="358"/>
        </w:trPr>
        <w:tc>
          <w:tcPr>
            <w:tcW w:w="1885" w:type="dxa"/>
          </w:tcPr>
          <w:p w14:paraId="4EF46FC4" w14:textId="40287E28" w:rsidR="005643F3" w:rsidRDefault="005643F3" w:rsidP="005643F3">
            <w:r w:rsidRPr="009D4056">
              <w:rPr>
                <w:b/>
              </w:rPr>
              <w:lastRenderedPageBreak/>
              <w:t>Funder</w:t>
            </w:r>
            <w:r>
              <w:rPr>
                <w:b/>
              </w:rPr>
              <w:t>/Partner</w:t>
            </w:r>
          </w:p>
        </w:tc>
        <w:tc>
          <w:tcPr>
            <w:tcW w:w="1620" w:type="dxa"/>
          </w:tcPr>
          <w:p w14:paraId="12708E25" w14:textId="6C7CA543" w:rsidR="005643F3" w:rsidRDefault="005643F3" w:rsidP="005643F3">
            <w:r w:rsidRPr="009D4056">
              <w:rPr>
                <w:b/>
              </w:rPr>
              <w:t>Grant</w:t>
            </w:r>
          </w:p>
        </w:tc>
        <w:tc>
          <w:tcPr>
            <w:tcW w:w="2880" w:type="dxa"/>
          </w:tcPr>
          <w:p w14:paraId="0309D00D" w14:textId="04DCE84A" w:rsidR="005643F3" w:rsidRDefault="005643F3" w:rsidP="005643F3">
            <w:pPr>
              <w:rPr>
                <w:rStyle w:val="Hyperlink"/>
              </w:rPr>
            </w:pPr>
            <w:r w:rsidRPr="009D4056">
              <w:rPr>
                <w:b/>
              </w:rPr>
              <w:t>Website</w:t>
            </w:r>
          </w:p>
        </w:tc>
        <w:tc>
          <w:tcPr>
            <w:tcW w:w="5040" w:type="dxa"/>
          </w:tcPr>
          <w:p w14:paraId="2A7F3573" w14:textId="29C8168E" w:rsidR="005643F3" w:rsidRPr="00D24138" w:rsidRDefault="005643F3" w:rsidP="005643F3">
            <w:r w:rsidRPr="009D4056">
              <w:rPr>
                <w:b/>
              </w:rPr>
              <w:t>Purpose</w:t>
            </w:r>
          </w:p>
        </w:tc>
        <w:tc>
          <w:tcPr>
            <w:tcW w:w="1620" w:type="dxa"/>
          </w:tcPr>
          <w:p w14:paraId="6D32557E" w14:textId="7C161DD9" w:rsidR="005643F3" w:rsidRDefault="005643F3" w:rsidP="005643F3">
            <w:r w:rsidRPr="009D4056">
              <w:rPr>
                <w:b/>
              </w:rPr>
              <w:t>Approximate Due Date</w:t>
            </w:r>
          </w:p>
        </w:tc>
        <w:tc>
          <w:tcPr>
            <w:tcW w:w="1170" w:type="dxa"/>
          </w:tcPr>
          <w:p w14:paraId="3F06B603" w14:textId="77840CFB" w:rsidR="005643F3" w:rsidRPr="00D24138" w:rsidRDefault="005643F3" w:rsidP="005643F3">
            <w:r w:rsidRPr="009D4056">
              <w:rPr>
                <w:b/>
              </w:rPr>
              <w:t>Funding Range</w:t>
            </w:r>
          </w:p>
        </w:tc>
      </w:tr>
      <w:tr w:rsidR="005643F3" w:rsidRPr="00D24138" w14:paraId="156A3F90" w14:textId="77777777" w:rsidTr="00F42FC5">
        <w:trPr>
          <w:trHeight w:val="358"/>
        </w:trPr>
        <w:tc>
          <w:tcPr>
            <w:tcW w:w="1885" w:type="dxa"/>
          </w:tcPr>
          <w:p w14:paraId="461B2909" w14:textId="453A468B" w:rsidR="005643F3" w:rsidRPr="00D24138" w:rsidRDefault="005643F3" w:rsidP="005643F3">
            <w:r w:rsidRPr="00D24138">
              <w:t>MJ Murdock Charitable Trust</w:t>
            </w:r>
          </w:p>
        </w:tc>
        <w:tc>
          <w:tcPr>
            <w:tcW w:w="1620" w:type="dxa"/>
          </w:tcPr>
          <w:p w14:paraId="1B021ACF" w14:textId="77777777" w:rsidR="005643F3" w:rsidRDefault="005643F3" w:rsidP="005643F3"/>
        </w:tc>
        <w:tc>
          <w:tcPr>
            <w:tcW w:w="2880" w:type="dxa"/>
          </w:tcPr>
          <w:p w14:paraId="67B112D1" w14:textId="77777777" w:rsidR="005643F3" w:rsidRDefault="005643F3" w:rsidP="005643F3">
            <w:hyperlink r:id="rId17" w:history="1">
              <w:r>
                <w:rPr>
                  <w:rStyle w:val="Hyperlink"/>
                </w:rPr>
                <w:t>https://murdocktrust.org/grant-opportunities/</w:t>
              </w:r>
            </w:hyperlink>
          </w:p>
          <w:p w14:paraId="3ACB3730" w14:textId="77777777" w:rsidR="005643F3" w:rsidRDefault="005643F3" w:rsidP="005643F3"/>
        </w:tc>
        <w:tc>
          <w:tcPr>
            <w:tcW w:w="5040" w:type="dxa"/>
          </w:tcPr>
          <w:p w14:paraId="21110AED" w14:textId="0F2BDCCE" w:rsidR="005643F3" w:rsidRPr="00D24138" w:rsidRDefault="005643F3" w:rsidP="005643F3">
            <w:r w:rsidRPr="00D24138">
              <w:t>Funds strategic projects and initiatives in a five</w:t>
            </w:r>
            <w:r>
              <w:t>-</w:t>
            </w:r>
            <w:r w:rsidRPr="00D24138">
              <w:t xml:space="preserve">state region which includes Montana. </w:t>
            </w:r>
          </w:p>
        </w:tc>
        <w:tc>
          <w:tcPr>
            <w:tcW w:w="1620" w:type="dxa"/>
          </w:tcPr>
          <w:p w14:paraId="25DCDB73" w14:textId="20C28E80" w:rsidR="005643F3" w:rsidRPr="00D24138" w:rsidRDefault="005643F3" w:rsidP="005643F3">
            <w:r>
              <w:t>LOI</w:t>
            </w:r>
          </w:p>
        </w:tc>
        <w:tc>
          <w:tcPr>
            <w:tcW w:w="1170" w:type="dxa"/>
          </w:tcPr>
          <w:p w14:paraId="24DB8AD8" w14:textId="780DA1B0" w:rsidR="005643F3" w:rsidRPr="00D24138" w:rsidRDefault="005643F3" w:rsidP="005643F3"/>
        </w:tc>
      </w:tr>
      <w:tr w:rsidR="005643F3" w:rsidRPr="00D24138" w14:paraId="28523C19" w14:textId="77777777" w:rsidTr="00F42FC5">
        <w:trPr>
          <w:trHeight w:val="358"/>
        </w:trPr>
        <w:tc>
          <w:tcPr>
            <w:tcW w:w="1885" w:type="dxa"/>
          </w:tcPr>
          <w:p w14:paraId="7FD454CF" w14:textId="03775E7E" w:rsidR="005643F3" w:rsidRPr="00D24138" w:rsidRDefault="005643F3" w:rsidP="005643F3">
            <w:r w:rsidRPr="00D24138">
              <w:t>Montana History Foundation</w:t>
            </w:r>
          </w:p>
        </w:tc>
        <w:tc>
          <w:tcPr>
            <w:tcW w:w="1620" w:type="dxa"/>
          </w:tcPr>
          <w:p w14:paraId="0FC686B5" w14:textId="1570B123" w:rsidR="005643F3" w:rsidRDefault="005643F3" w:rsidP="005643F3">
            <w:r w:rsidRPr="00D24138">
              <w:t>General Grants Program</w:t>
            </w:r>
          </w:p>
        </w:tc>
        <w:tc>
          <w:tcPr>
            <w:tcW w:w="2880" w:type="dxa"/>
          </w:tcPr>
          <w:p w14:paraId="4E2A8AD2" w14:textId="1F484962" w:rsidR="005643F3" w:rsidRDefault="005643F3" w:rsidP="005643F3">
            <w:hyperlink r:id="rId18" w:history="1">
              <w:r w:rsidRPr="00C56BC0">
                <w:rPr>
                  <w:rStyle w:val="Hyperlink"/>
                </w:rPr>
                <w:t>https://www.mthistory.org/grants/</w:t>
              </w:r>
            </w:hyperlink>
          </w:p>
        </w:tc>
        <w:tc>
          <w:tcPr>
            <w:tcW w:w="5040" w:type="dxa"/>
          </w:tcPr>
          <w:p w14:paraId="3333FAE3" w14:textId="77777777" w:rsidR="005643F3" w:rsidRPr="00D24138" w:rsidRDefault="005643F3" w:rsidP="005643F3">
            <w:r w:rsidRPr="00D24138">
              <w:t>Offers grants for historic preservation, oral history, artifact conservation, document digitization, museum exhibits, and more.</w:t>
            </w:r>
          </w:p>
          <w:p w14:paraId="511C758D" w14:textId="77777777" w:rsidR="005643F3" w:rsidRPr="00D24138" w:rsidRDefault="005643F3" w:rsidP="005643F3"/>
        </w:tc>
        <w:tc>
          <w:tcPr>
            <w:tcW w:w="1620" w:type="dxa"/>
          </w:tcPr>
          <w:p w14:paraId="4BD68534" w14:textId="6C2C9879" w:rsidR="005643F3" w:rsidRPr="00D24138" w:rsidRDefault="005643F3" w:rsidP="005643F3">
            <w:r w:rsidRPr="00D24138">
              <w:t xml:space="preserve">January </w:t>
            </w:r>
          </w:p>
        </w:tc>
        <w:tc>
          <w:tcPr>
            <w:tcW w:w="1170" w:type="dxa"/>
          </w:tcPr>
          <w:p w14:paraId="7FC0F3B4" w14:textId="05E25B23" w:rsidR="005643F3" w:rsidRPr="00D24138" w:rsidRDefault="005643F3" w:rsidP="005643F3">
            <w:r w:rsidRPr="00D24138">
              <w:t>$500-$</w:t>
            </w:r>
            <w:r>
              <w:t>10</w:t>
            </w:r>
            <w:r w:rsidRPr="00D24138">
              <w:t>,000</w:t>
            </w:r>
          </w:p>
        </w:tc>
      </w:tr>
      <w:tr w:rsidR="005643F3" w:rsidRPr="00D24138" w14:paraId="127CD892" w14:textId="77777777" w:rsidTr="00F42FC5">
        <w:trPr>
          <w:trHeight w:val="358"/>
        </w:trPr>
        <w:tc>
          <w:tcPr>
            <w:tcW w:w="1885" w:type="dxa"/>
          </w:tcPr>
          <w:p w14:paraId="77B6F8B4" w14:textId="4E225014" w:rsidR="005643F3" w:rsidRPr="00D24138" w:rsidRDefault="005643F3" w:rsidP="005643F3">
            <w:r w:rsidRPr="00D24138">
              <w:t>Montana History Foundation</w:t>
            </w:r>
          </w:p>
        </w:tc>
        <w:tc>
          <w:tcPr>
            <w:tcW w:w="1620" w:type="dxa"/>
          </w:tcPr>
          <w:p w14:paraId="417007DA" w14:textId="1566E476" w:rsidR="005643F3" w:rsidRPr="00D24138" w:rsidRDefault="005643F3" w:rsidP="005643F3">
            <w:r w:rsidRPr="00D24138">
              <w:t>History Emergencies!</w:t>
            </w:r>
          </w:p>
        </w:tc>
        <w:tc>
          <w:tcPr>
            <w:tcW w:w="2880" w:type="dxa"/>
          </w:tcPr>
          <w:p w14:paraId="01EA16C8" w14:textId="27574A80" w:rsidR="005643F3" w:rsidRDefault="005643F3" w:rsidP="005643F3">
            <w:pPr>
              <w:rPr>
                <w:rStyle w:val="Hyperlink"/>
              </w:rPr>
            </w:pPr>
            <w:r w:rsidRPr="00A30990">
              <w:rPr>
                <w:rStyle w:val="Hyperlink"/>
                <w:color w:val="auto"/>
                <w:u w:val="none"/>
              </w:rPr>
              <w:t>Call for further details: 406-449-3770</w:t>
            </w:r>
          </w:p>
        </w:tc>
        <w:tc>
          <w:tcPr>
            <w:tcW w:w="5040" w:type="dxa"/>
          </w:tcPr>
          <w:p w14:paraId="0C78AF4E" w14:textId="5AD1DCDA" w:rsidR="005643F3" w:rsidRPr="00D24138" w:rsidRDefault="005643F3" w:rsidP="005643F3">
            <w:r w:rsidRPr="00D24138">
              <w:t>Provides funding to restore, conserve, or repair historic resources that are a direct benefit to the community and in imminent danger.</w:t>
            </w:r>
          </w:p>
        </w:tc>
        <w:tc>
          <w:tcPr>
            <w:tcW w:w="1620" w:type="dxa"/>
          </w:tcPr>
          <w:p w14:paraId="0CEA031B" w14:textId="4012748E" w:rsidR="005643F3" w:rsidRPr="00D24138" w:rsidRDefault="005643F3" w:rsidP="005643F3">
            <w:r w:rsidRPr="00D24138">
              <w:t>Ongoing</w:t>
            </w:r>
          </w:p>
        </w:tc>
        <w:tc>
          <w:tcPr>
            <w:tcW w:w="1170" w:type="dxa"/>
          </w:tcPr>
          <w:p w14:paraId="0885DD06" w14:textId="1F0E51DE" w:rsidR="005643F3" w:rsidRPr="00D24138" w:rsidRDefault="005643F3" w:rsidP="005643F3">
            <w:r w:rsidRPr="00D24138">
              <w:t>$1,000-$7,500</w:t>
            </w:r>
          </w:p>
        </w:tc>
      </w:tr>
      <w:tr w:rsidR="005643F3" w:rsidRPr="00D24138" w14:paraId="0F613F05" w14:textId="77777777" w:rsidTr="00F42FC5">
        <w:trPr>
          <w:trHeight w:val="358"/>
        </w:trPr>
        <w:tc>
          <w:tcPr>
            <w:tcW w:w="1885" w:type="dxa"/>
          </w:tcPr>
          <w:p w14:paraId="6969D4E9" w14:textId="04B67C86" w:rsidR="005643F3" w:rsidRPr="00D24138" w:rsidRDefault="005643F3" w:rsidP="005643F3">
            <w:r w:rsidRPr="00D24138">
              <w:t>Montana Historical Society</w:t>
            </w:r>
          </w:p>
        </w:tc>
        <w:tc>
          <w:tcPr>
            <w:tcW w:w="1620" w:type="dxa"/>
          </w:tcPr>
          <w:p w14:paraId="1C19DEBD" w14:textId="67D3D880" w:rsidR="005643F3" w:rsidRPr="00D24138" w:rsidRDefault="005643F3" w:rsidP="005643F3">
            <w:r w:rsidRPr="00D24138">
              <w:t>Community Preservation and Certified Local Government Program</w:t>
            </w:r>
          </w:p>
        </w:tc>
        <w:tc>
          <w:tcPr>
            <w:tcW w:w="2880" w:type="dxa"/>
          </w:tcPr>
          <w:p w14:paraId="2782C850" w14:textId="45258CB4" w:rsidR="005643F3" w:rsidRPr="00A30990" w:rsidRDefault="005643F3" w:rsidP="005643F3">
            <w:pPr>
              <w:rPr>
                <w:rStyle w:val="Hyperlink"/>
                <w:color w:val="auto"/>
                <w:u w:val="none"/>
              </w:rPr>
            </w:pPr>
            <w:r w:rsidRPr="00C4614E">
              <w:rPr>
                <w:rStyle w:val="Hyperlink"/>
              </w:rPr>
              <w:t>https://mhs.mt.gov/Shpo/index5</w:t>
            </w:r>
          </w:p>
        </w:tc>
        <w:tc>
          <w:tcPr>
            <w:tcW w:w="5040" w:type="dxa"/>
          </w:tcPr>
          <w:p w14:paraId="5F4B5BC2" w14:textId="4C93A5F0" w:rsidR="005643F3" w:rsidRPr="00D24138" w:rsidRDefault="005643F3" w:rsidP="005643F3">
            <w:r w:rsidRPr="00D24138">
              <w:t>Certify local government with historic preservation programs, provide technical preservation assistance, and annually dedicate 10% of federal funding to cities, towns, and counties that commit themselves to preserving their heritage under the program</w:t>
            </w:r>
            <w:r>
              <w:t>.</w:t>
            </w:r>
          </w:p>
        </w:tc>
        <w:tc>
          <w:tcPr>
            <w:tcW w:w="1620" w:type="dxa"/>
          </w:tcPr>
          <w:p w14:paraId="690C123E" w14:textId="77777777" w:rsidR="005643F3" w:rsidRPr="00D24138" w:rsidRDefault="005643F3" w:rsidP="005643F3"/>
        </w:tc>
        <w:tc>
          <w:tcPr>
            <w:tcW w:w="1170" w:type="dxa"/>
          </w:tcPr>
          <w:p w14:paraId="0F24BC87" w14:textId="5751CC24" w:rsidR="005643F3" w:rsidRPr="00D24138" w:rsidRDefault="005643F3" w:rsidP="005643F3">
            <w:r>
              <w:t>$1,000-$5,0</w:t>
            </w:r>
            <w:r w:rsidRPr="00D24138">
              <w:t>00</w:t>
            </w:r>
          </w:p>
        </w:tc>
      </w:tr>
      <w:tr w:rsidR="005643F3" w:rsidRPr="00D24138" w14:paraId="27BA9FF9" w14:textId="77777777" w:rsidTr="00F42FC5">
        <w:trPr>
          <w:trHeight w:val="358"/>
        </w:trPr>
        <w:tc>
          <w:tcPr>
            <w:tcW w:w="1885" w:type="dxa"/>
          </w:tcPr>
          <w:p w14:paraId="37C8A88F" w14:textId="7AD1E14F" w:rsidR="005643F3" w:rsidRPr="00D24138" w:rsidRDefault="005643F3" w:rsidP="005643F3">
            <w:r w:rsidRPr="00D24138">
              <w:t>Montana State Library</w:t>
            </w:r>
          </w:p>
        </w:tc>
        <w:tc>
          <w:tcPr>
            <w:tcW w:w="1620" w:type="dxa"/>
          </w:tcPr>
          <w:p w14:paraId="27F73F02" w14:textId="60BD927A" w:rsidR="005643F3" w:rsidRPr="00D24138" w:rsidRDefault="005643F3" w:rsidP="005643F3">
            <w:r w:rsidRPr="00D24138">
              <w:t>Montana Memory Project</w:t>
            </w:r>
          </w:p>
        </w:tc>
        <w:tc>
          <w:tcPr>
            <w:tcW w:w="2880" w:type="dxa"/>
          </w:tcPr>
          <w:p w14:paraId="5338E706" w14:textId="63A9390C" w:rsidR="005643F3" w:rsidRPr="00C4614E" w:rsidRDefault="005643F3" w:rsidP="005643F3">
            <w:pPr>
              <w:rPr>
                <w:rStyle w:val="Hyperlink"/>
              </w:rPr>
            </w:pPr>
            <w:hyperlink r:id="rId19" w:history="1">
              <w:r w:rsidRPr="00C56BC0">
                <w:rPr>
                  <w:rStyle w:val="Hyperlink"/>
                </w:rPr>
                <w:t>http://docs.msl.mt.gov/mmpweb/webpagedocs/brochure3.pdf</w:t>
              </w:r>
            </w:hyperlink>
          </w:p>
        </w:tc>
        <w:tc>
          <w:tcPr>
            <w:tcW w:w="5040" w:type="dxa"/>
          </w:tcPr>
          <w:p w14:paraId="4903ACF7" w14:textId="6DFE5C52" w:rsidR="005643F3" w:rsidRPr="00D24138" w:rsidRDefault="005643F3" w:rsidP="005643F3">
            <w:r w:rsidRPr="00D24138">
              <w:t>Grant funding available to interested applicants. All Montana libraries, museums, archives, and schools are encouraged to become contributors of the Montana Memory Project</w:t>
            </w:r>
            <w:r>
              <w:t>.</w:t>
            </w:r>
          </w:p>
        </w:tc>
        <w:tc>
          <w:tcPr>
            <w:tcW w:w="1620" w:type="dxa"/>
          </w:tcPr>
          <w:p w14:paraId="2D0F6D21" w14:textId="5228A342" w:rsidR="005643F3" w:rsidRPr="00D24138" w:rsidRDefault="005643F3" w:rsidP="005643F3">
            <w:r w:rsidRPr="00D24138">
              <w:t>Montana State Library</w:t>
            </w:r>
          </w:p>
        </w:tc>
        <w:tc>
          <w:tcPr>
            <w:tcW w:w="1170" w:type="dxa"/>
          </w:tcPr>
          <w:p w14:paraId="43DA45F5" w14:textId="4E2C3ACE" w:rsidR="005643F3" w:rsidRDefault="005643F3" w:rsidP="005643F3"/>
        </w:tc>
      </w:tr>
      <w:tr w:rsidR="005643F3" w:rsidRPr="00D24138" w14:paraId="7D16BAC3" w14:textId="77777777" w:rsidTr="00F42FC5">
        <w:trPr>
          <w:trHeight w:val="358"/>
        </w:trPr>
        <w:tc>
          <w:tcPr>
            <w:tcW w:w="1885" w:type="dxa"/>
          </w:tcPr>
          <w:p w14:paraId="34A2EB92" w14:textId="3D6FBF50" w:rsidR="005643F3" w:rsidRPr="00D24138" w:rsidRDefault="005643F3" w:rsidP="005643F3">
            <w:r w:rsidRPr="00D24138">
              <w:t>Montana Office of Tourism</w:t>
            </w:r>
          </w:p>
        </w:tc>
        <w:tc>
          <w:tcPr>
            <w:tcW w:w="1620" w:type="dxa"/>
          </w:tcPr>
          <w:p w14:paraId="69341036" w14:textId="030B3DF4" w:rsidR="005643F3" w:rsidRDefault="005643F3" w:rsidP="005643F3">
            <w:r>
              <w:t>Tourism Grant Program</w:t>
            </w:r>
          </w:p>
        </w:tc>
        <w:tc>
          <w:tcPr>
            <w:tcW w:w="2880" w:type="dxa"/>
          </w:tcPr>
          <w:p w14:paraId="0D5EDA99" w14:textId="61545D9B" w:rsidR="005643F3" w:rsidRDefault="005643F3" w:rsidP="005643F3">
            <w:pPr>
              <w:rPr>
                <w:rStyle w:val="Hyperlink"/>
              </w:rPr>
            </w:pPr>
            <w:r w:rsidRPr="00BE047B">
              <w:rPr>
                <w:rStyle w:val="Hyperlink"/>
              </w:rPr>
              <w:t>https://brand.mt.gov/Programs/Office-Of-Tourism/Tourism-Grant-Program</w:t>
            </w:r>
          </w:p>
        </w:tc>
        <w:tc>
          <w:tcPr>
            <w:tcW w:w="5040" w:type="dxa"/>
          </w:tcPr>
          <w:p w14:paraId="0AF4DBD4" w14:textId="7C97E457" w:rsidR="005643F3" w:rsidRPr="00D24138" w:rsidRDefault="005643F3" w:rsidP="005643F3">
            <w:r>
              <w:t>A</w:t>
            </w:r>
            <w:r w:rsidRPr="00BE047B">
              <w:t>wards funds to projects that strengthen Montana’s economy through the development and enhancement of the State’s tourism and recreation industry.</w:t>
            </w:r>
          </w:p>
        </w:tc>
        <w:tc>
          <w:tcPr>
            <w:tcW w:w="1620" w:type="dxa"/>
          </w:tcPr>
          <w:p w14:paraId="6EA208FD" w14:textId="6A1FD710" w:rsidR="005643F3" w:rsidRDefault="005643F3" w:rsidP="005643F3">
            <w:r>
              <w:t>September</w:t>
            </w:r>
          </w:p>
        </w:tc>
        <w:tc>
          <w:tcPr>
            <w:tcW w:w="1170" w:type="dxa"/>
          </w:tcPr>
          <w:p w14:paraId="593FBBDC" w14:textId="11D8DDA3" w:rsidR="005643F3" w:rsidRPr="00D24138" w:rsidRDefault="005643F3" w:rsidP="005643F3"/>
        </w:tc>
      </w:tr>
      <w:tr w:rsidR="005643F3" w:rsidRPr="00D24138" w14:paraId="307E5BA7" w14:textId="77777777" w:rsidTr="00F42FC5">
        <w:trPr>
          <w:trHeight w:val="358"/>
        </w:trPr>
        <w:tc>
          <w:tcPr>
            <w:tcW w:w="1885" w:type="dxa"/>
          </w:tcPr>
          <w:p w14:paraId="21AF7CCA" w14:textId="17A4C4C4" w:rsidR="005643F3" w:rsidRPr="00D24138" w:rsidRDefault="005643F3" w:rsidP="005643F3">
            <w:r w:rsidRPr="00D24138">
              <w:t>Northwestern Energy Charitable Giving Program</w:t>
            </w:r>
          </w:p>
        </w:tc>
        <w:tc>
          <w:tcPr>
            <w:tcW w:w="1620" w:type="dxa"/>
          </w:tcPr>
          <w:p w14:paraId="64530994" w14:textId="271D4ACD" w:rsidR="005643F3" w:rsidRDefault="005643F3" w:rsidP="005643F3">
            <w:r w:rsidRPr="00D24138">
              <w:t>Community Works</w:t>
            </w:r>
          </w:p>
        </w:tc>
        <w:tc>
          <w:tcPr>
            <w:tcW w:w="2880" w:type="dxa"/>
          </w:tcPr>
          <w:p w14:paraId="60A35572" w14:textId="29CB6BC6" w:rsidR="005643F3" w:rsidRDefault="005643F3" w:rsidP="005643F3">
            <w:pPr>
              <w:rPr>
                <w:rStyle w:val="Hyperlink"/>
              </w:rPr>
            </w:pPr>
            <w:r w:rsidRPr="001E4C0F">
              <w:rPr>
                <w:rStyle w:val="Hyperlink"/>
              </w:rPr>
              <w:t>https://www.northwesternenergy.com/in-your-community/charitable-programs#</w:t>
            </w:r>
          </w:p>
        </w:tc>
        <w:tc>
          <w:tcPr>
            <w:tcW w:w="5040" w:type="dxa"/>
          </w:tcPr>
          <w:p w14:paraId="7511D8B8" w14:textId="7BF24179" w:rsidR="005643F3" w:rsidRPr="00FF578C" w:rsidRDefault="005643F3" w:rsidP="005643F3">
            <w:pPr>
              <w:rPr>
                <w:color w:val="333333"/>
                <w:shd w:val="clear" w:color="auto" w:fill="FFFFFF"/>
              </w:rPr>
            </w:pPr>
            <w:r>
              <w:t>Supports e</w:t>
            </w:r>
            <w:r w:rsidRPr="00D24138">
              <w:t xml:space="preserve">ducation, health, and human services, civic and community, culture and </w:t>
            </w:r>
            <w:r>
              <w:t>arts, and resource conservation in communities they serve.</w:t>
            </w:r>
          </w:p>
        </w:tc>
        <w:tc>
          <w:tcPr>
            <w:tcW w:w="1620" w:type="dxa"/>
          </w:tcPr>
          <w:p w14:paraId="48B3F0AC" w14:textId="17C6C827" w:rsidR="005643F3" w:rsidRPr="00D24138" w:rsidRDefault="005643F3" w:rsidP="005643F3">
            <w:r w:rsidRPr="00D24138">
              <w:t>Northwestern Energy Charitable Giving Program</w:t>
            </w:r>
          </w:p>
        </w:tc>
        <w:tc>
          <w:tcPr>
            <w:tcW w:w="1170" w:type="dxa"/>
          </w:tcPr>
          <w:p w14:paraId="3A24CAA1" w14:textId="47BB5FCD" w:rsidR="005643F3" w:rsidRPr="00D24138" w:rsidRDefault="005643F3" w:rsidP="005643F3"/>
        </w:tc>
      </w:tr>
      <w:tr w:rsidR="005643F3" w:rsidRPr="00D24138" w14:paraId="1F74750C" w14:textId="77777777" w:rsidTr="00F42FC5">
        <w:trPr>
          <w:trHeight w:val="358"/>
        </w:trPr>
        <w:tc>
          <w:tcPr>
            <w:tcW w:w="1885" w:type="dxa"/>
          </w:tcPr>
          <w:p w14:paraId="04EF3BC7" w14:textId="38DC8295" w:rsidR="005643F3" w:rsidRPr="00D24138" w:rsidRDefault="005643F3" w:rsidP="005643F3">
            <w:r>
              <w:t>Preserve Montana</w:t>
            </w:r>
          </w:p>
        </w:tc>
        <w:tc>
          <w:tcPr>
            <w:tcW w:w="1620" w:type="dxa"/>
          </w:tcPr>
          <w:p w14:paraId="68D50374" w14:textId="7E8A5648" w:rsidR="005643F3" w:rsidRPr="00D24138" w:rsidRDefault="005643F3" w:rsidP="005643F3">
            <w:r w:rsidRPr="00D24138">
              <w:t>Various Programs</w:t>
            </w:r>
          </w:p>
        </w:tc>
        <w:tc>
          <w:tcPr>
            <w:tcW w:w="2880" w:type="dxa"/>
          </w:tcPr>
          <w:p w14:paraId="4EF261E4" w14:textId="1C1D054A" w:rsidR="005643F3" w:rsidRPr="001E4C0F" w:rsidRDefault="005643F3" w:rsidP="005643F3">
            <w:pPr>
              <w:rPr>
                <w:rStyle w:val="Hyperlink"/>
              </w:rPr>
            </w:pPr>
            <w:hyperlink r:id="rId20" w:history="1">
              <w:r w:rsidRPr="00C56BC0">
                <w:rPr>
                  <w:rStyle w:val="Hyperlink"/>
                </w:rPr>
                <w:t>http://www.preservemontana.org/restoration-training</w:t>
              </w:r>
            </w:hyperlink>
          </w:p>
        </w:tc>
        <w:tc>
          <w:tcPr>
            <w:tcW w:w="5040" w:type="dxa"/>
          </w:tcPr>
          <w:p w14:paraId="43A23F1F" w14:textId="2060A88C" w:rsidR="005643F3" w:rsidRDefault="005643F3" w:rsidP="005643F3">
            <w:r w:rsidRPr="00D24138">
              <w:t>Assistance to communities and owners of historic properties.</w:t>
            </w:r>
          </w:p>
        </w:tc>
        <w:tc>
          <w:tcPr>
            <w:tcW w:w="1620" w:type="dxa"/>
          </w:tcPr>
          <w:p w14:paraId="425C5331" w14:textId="77777777" w:rsidR="005643F3" w:rsidRPr="00D24138" w:rsidRDefault="005643F3" w:rsidP="005643F3"/>
        </w:tc>
        <w:tc>
          <w:tcPr>
            <w:tcW w:w="1170" w:type="dxa"/>
          </w:tcPr>
          <w:p w14:paraId="6AF04ADA" w14:textId="77777777" w:rsidR="005643F3" w:rsidRPr="00D24138" w:rsidRDefault="005643F3" w:rsidP="005643F3"/>
        </w:tc>
      </w:tr>
      <w:tr w:rsidR="005643F3" w:rsidRPr="00C947D5" w14:paraId="760D5B5E" w14:textId="77777777" w:rsidTr="00F42FC5">
        <w:trPr>
          <w:trHeight w:val="358"/>
        </w:trPr>
        <w:tc>
          <w:tcPr>
            <w:tcW w:w="1885" w:type="dxa"/>
          </w:tcPr>
          <w:p w14:paraId="65A830D9" w14:textId="55D337C2" w:rsidR="005643F3" w:rsidRPr="00C947D5" w:rsidRDefault="005643F3" w:rsidP="005643F3">
            <w:pPr>
              <w:rPr>
                <w:b/>
              </w:rPr>
            </w:pPr>
            <w:r w:rsidRPr="00D24138">
              <w:t>Steele-Reese Foundation</w:t>
            </w:r>
          </w:p>
        </w:tc>
        <w:tc>
          <w:tcPr>
            <w:tcW w:w="1620" w:type="dxa"/>
          </w:tcPr>
          <w:p w14:paraId="0066DE8F" w14:textId="230EF57B" w:rsidR="005643F3" w:rsidRPr="00C947D5" w:rsidRDefault="005643F3" w:rsidP="005643F3">
            <w:pPr>
              <w:rPr>
                <w:b/>
              </w:rPr>
            </w:pPr>
            <w:r w:rsidRPr="00D24138">
              <w:t>Idaho and Montana Grant Program</w:t>
            </w:r>
          </w:p>
        </w:tc>
        <w:tc>
          <w:tcPr>
            <w:tcW w:w="2880" w:type="dxa"/>
          </w:tcPr>
          <w:p w14:paraId="0574D2BE" w14:textId="0FEC27A9" w:rsidR="005643F3" w:rsidRPr="00C947D5" w:rsidRDefault="005643F3" w:rsidP="005643F3">
            <w:pPr>
              <w:rPr>
                <w:rStyle w:val="Hyperlink"/>
                <w:b/>
              </w:rPr>
            </w:pPr>
            <w:r w:rsidRPr="00FF578C">
              <w:t>https://steele-reese.org/</w:t>
            </w:r>
          </w:p>
        </w:tc>
        <w:tc>
          <w:tcPr>
            <w:tcW w:w="5040" w:type="dxa"/>
          </w:tcPr>
          <w:p w14:paraId="6DC57EBE" w14:textId="71BA25CE" w:rsidR="005643F3" w:rsidRPr="00C947D5" w:rsidRDefault="005643F3" w:rsidP="005643F3">
            <w:pPr>
              <w:rPr>
                <w:b/>
              </w:rPr>
            </w:pPr>
            <w:r w:rsidRPr="00D24138">
              <w:t>Supports rural education, rural human/social services, rural conservation and preservation, rural health, and rural arts and humanities programs.</w:t>
            </w:r>
          </w:p>
        </w:tc>
        <w:tc>
          <w:tcPr>
            <w:tcW w:w="1620" w:type="dxa"/>
          </w:tcPr>
          <w:p w14:paraId="4C9C1E51" w14:textId="0D493E82" w:rsidR="005643F3" w:rsidRPr="00C947D5" w:rsidRDefault="005643F3" w:rsidP="005643F3">
            <w:pPr>
              <w:rPr>
                <w:b/>
              </w:rPr>
            </w:pPr>
            <w:r w:rsidRPr="00D24138">
              <w:t>LOI</w:t>
            </w:r>
          </w:p>
        </w:tc>
        <w:tc>
          <w:tcPr>
            <w:tcW w:w="1170" w:type="dxa"/>
          </w:tcPr>
          <w:p w14:paraId="1C43F4A7" w14:textId="4DEFBFA4" w:rsidR="005643F3" w:rsidRPr="00C947D5" w:rsidRDefault="005643F3" w:rsidP="005643F3">
            <w:pPr>
              <w:rPr>
                <w:b/>
              </w:rPr>
            </w:pPr>
            <w:r w:rsidRPr="00D24138">
              <w:t>$5,000-$50,000</w:t>
            </w:r>
          </w:p>
        </w:tc>
      </w:tr>
    </w:tbl>
    <w:p w14:paraId="367A1F87" w14:textId="77777777" w:rsidR="006B12B8" w:rsidRDefault="006B12B8" w:rsidP="00092EBD">
      <w:pPr>
        <w:rPr>
          <w:b/>
          <w:sz w:val="28"/>
          <w:szCs w:val="28"/>
        </w:rPr>
      </w:pPr>
    </w:p>
    <w:p w14:paraId="7FB629F6" w14:textId="6B6FF01B" w:rsidR="00092EBD" w:rsidRDefault="00092EBD" w:rsidP="00092EBD">
      <w:pPr>
        <w:rPr>
          <w:b/>
          <w:sz w:val="28"/>
          <w:szCs w:val="28"/>
        </w:rPr>
      </w:pPr>
      <w:r w:rsidRPr="00720CA0">
        <w:rPr>
          <w:b/>
          <w:sz w:val="28"/>
          <w:szCs w:val="28"/>
        </w:rPr>
        <w:lastRenderedPageBreak/>
        <w:t>Federal Grant Makers</w:t>
      </w:r>
    </w:p>
    <w:p w14:paraId="234C7049" w14:textId="77777777" w:rsidR="00321458" w:rsidRPr="00720CA0" w:rsidRDefault="00321458" w:rsidP="00092EBD">
      <w:pPr>
        <w:rPr>
          <w:b/>
          <w:sz w:val="28"/>
          <w:szCs w:val="28"/>
        </w:rPr>
      </w:pPr>
    </w:p>
    <w:tbl>
      <w:tblPr>
        <w:tblStyle w:val="TableGrid"/>
        <w:tblW w:w="14215" w:type="dxa"/>
        <w:tblLayout w:type="fixed"/>
        <w:tblLook w:val="04A0" w:firstRow="1" w:lastRow="0" w:firstColumn="1" w:lastColumn="0" w:noHBand="0" w:noVBand="1"/>
      </w:tblPr>
      <w:tblGrid>
        <w:gridCol w:w="1885"/>
        <w:gridCol w:w="1710"/>
        <w:gridCol w:w="2790"/>
        <w:gridCol w:w="5040"/>
        <w:gridCol w:w="1620"/>
        <w:gridCol w:w="1170"/>
      </w:tblGrid>
      <w:tr w:rsidR="00200EB0" w:rsidRPr="00D24138" w14:paraId="284BCEC9" w14:textId="77777777" w:rsidTr="004A0FCE">
        <w:trPr>
          <w:trHeight w:val="538"/>
        </w:trPr>
        <w:tc>
          <w:tcPr>
            <w:tcW w:w="1885" w:type="dxa"/>
          </w:tcPr>
          <w:p w14:paraId="0A74BE01" w14:textId="60C51FF8" w:rsidR="00200EB0" w:rsidRPr="00D24138" w:rsidRDefault="00200EB0" w:rsidP="00296374">
            <w:pPr>
              <w:rPr>
                <w:b/>
              </w:rPr>
            </w:pPr>
            <w:r w:rsidRPr="00D24138">
              <w:rPr>
                <w:b/>
              </w:rPr>
              <w:t>Funder</w:t>
            </w:r>
            <w:r w:rsidR="004A0FCE">
              <w:rPr>
                <w:b/>
              </w:rPr>
              <w:t>/Partner</w:t>
            </w:r>
          </w:p>
        </w:tc>
        <w:tc>
          <w:tcPr>
            <w:tcW w:w="1710" w:type="dxa"/>
          </w:tcPr>
          <w:p w14:paraId="3BA9D4C0" w14:textId="77777777" w:rsidR="00200EB0" w:rsidRPr="00D24138" w:rsidRDefault="00200EB0" w:rsidP="00296374">
            <w:pPr>
              <w:rPr>
                <w:b/>
              </w:rPr>
            </w:pPr>
            <w:r w:rsidRPr="00D24138">
              <w:rPr>
                <w:b/>
              </w:rPr>
              <w:t>Grant</w:t>
            </w:r>
          </w:p>
        </w:tc>
        <w:tc>
          <w:tcPr>
            <w:tcW w:w="2790" w:type="dxa"/>
          </w:tcPr>
          <w:p w14:paraId="7D539FEA" w14:textId="77777777" w:rsidR="00200EB0" w:rsidRPr="00D24138" w:rsidRDefault="00200EB0" w:rsidP="00296374">
            <w:pPr>
              <w:rPr>
                <w:b/>
              </w:rPr>
            </w:pPr>
            <w:r w:rsidRPr="00D24138">
              <w:rPr>
                <w:b/>
              </w:rPr>
              <w:t>Website</w:t>
            </w:r>
          </w:p>
        </w:tc>
        <w:tc>
          <w:tcPr>
            <w:tcW w:w="5040" w:type="dxa"/>
          </w:tcPr>
          <w:p w14:paraId="0C2ACFDE" w14:textId="77777777" w:rsidR="00200EB0" w:rsidRPr="00D24138" w:rsidRDefault="00200EB0" w:rsidP="00296374">
            <w:pPr>
              <w:rPr>
                <w:b/>
              </w:rPr>
            </w:pPr>
            <w:r w:rsidRPr="00D24138">
              <w:rPr>
                <w:b/>
              </w:rPr>
              <w:t>Purpose</w:t>
            </w:r>
          </w:p>
        </w:tc>
        <w:tc>
          <w:tcPr>
            <w:tcW w:w="1620" w:type="dxa"/>
          </w:tcPr>
          <w:p w14:paraId="617534DD" w14:textId="77777777" w:rsidR="00200EB0" w:rsidRPr="00D24138" w:rsidRDefault="00200EB0" w:rsidP="00296374">
            <w:pPr>
              <w:rPr>
                <w:b/>
              </w:rPr>
            </w:pPr>
            <w:r w:rsidRPr="00D24138">
              <w:rPr>
                <w:b/>
              </w:rPr>
              <w:t>Approximate Due Date</w:t>
            </w:r>
          </w:p>
        </w:tc>
        <w:tc>
          <w:tcPr>
            <w:tcW w:w="1170" w:type="dxa"/>
          </w:tcPr>
          <w:p w14:paraId="6879EB7B" w14:textId="77777777" w:rsidR="00200EB0" w:rsidRPr="00D24138" w:rsidRDefault="00200EB0" w:rsidP="00296374">
            <w:pPr>
              <w:rPr>
                <w:b/>
              </w:rPr>
            </w:pPr>
            <w:r w:rsidRPr="00D24138">
              <w:rPr>
                <w:b/>
              </w:rPr>
              <w:t>Funding Range</w:t>
            </w:r>
          </w:p>
        </w:tc>
      </w:tr>
      <w:tr w:rsidR="00321458" w:rsidRPr="00D24138" w14:paraId="4BFA7AD1" w14:textId="77777777" w:rsidTr="004A0FCE">
        <w:trPr>
          <w:trHeight w:val="1097"/>
        </w:trPr>
        <w:tc>
          <w:tcPr>
            <w:tcW w:w="1885" w:type="dxa"/>
          </w:tcPr>
          <w:p w14:paraId="24BE3F9D" w14:textId="105AEFA7" w:rsidR="00321458" w:rsidRDefault="00321458" w:rsidP="00321458">
            <w:r>
              <w:t>Department of Agriculture -Rural Development (USDA)</w:t>
            </w:r>
          </w:p>
        </w:tc>
        <w:tc>
          <w:tcPr>
            <w:tcW w:w="1710" w:type="dxa"/>
          </w:tcPr>
          <w:p w14:paraId="319B2AB3" w14:textId="0BA88821" w:rsidR="00321458" w:rsidRDefault="00321458" w:rsidP="00321458">
            <w:r>
              <w:t>Various</w:t>
            </w:r>
          </w:p>
        </w:tc>
        <w:tc>
          <w:tcPr>
            <w:tcW w:w="2790" w:type="dxa"/>
          </w:tcPr>
          <w:p w14:paraId="28C1E581" w14:textId="5B7AFEC7" w:rsidR="00321458" w:rsidRDefault="00321458" w:rsidP="00321458">
            <w:pPr>
              <w:rPr>
                <w:rStyle w:val="Hyperlink"/>
              </w:rPr>
            </w:pPr>
            <w:hyperlink r:id="rId21" w:history="1">
              <w:r w:rsidRPr="00C56BC0">
                <w:rPr>
                  <w:rStyle w:val="Hyperlink"/>
                </w:rPr>
                <w:t>https://www.rd.usda.gov/programs-services/all-programs</w:t>
              </w:r>
            </w:hyperlink>
          </w:p>
        </w:tc>
        <w:tc>
          <w:tcPr>
            <w:tcW w:w="5040" w:type="dxa"/>
          </w:tcPr>
          <w:p w14:paraId="318E3C7D" w14:textId="188CF941" w:rsidR="00321458" w:rsidRDefault="00321458" w:rsidP="00321458">
            <w:r>
              <w:t>Offers programs in the area of housing and rural community development that can be of assistance to preservation efforts.</w:t>
            </w:r>
          </w:p>
        </w:tc>
        <w:tc>
          <w:tcPr>
            <w:tcW w:w="1620" w:type="dxa"/>
          </w:tcPr>
          <w:p w14:paraId="38B34AD9" w14:textId="77777777" w:rsidR="00321458" w:rsidRDefault="00321458" w:rsidP="00321458"/>
        </w:tc>
        <w:tc>
          <w:tcPr>
            <w:tcW w:w="1170" w:type="dxa"/>
          </w:tcPr>
          <w:p w14:paraId="514B2C97" w14:textId="77777777" w:rsidR="00321458" w:rsidRPr="00D24138" w:rsidRDefault="00321458" w:rsidP="00321458"/>
        </w:tc>
      </w:tr>
      <w:tr w:rsidR="00321458" w:rsidRPr="00D24138" w14:paraId="522E2F3B" w14:textId="77777777" w:rsidTr="004A0FCE">
        <w:trPr>
          <w:trHeight w:val="1097"/>
        </w:trPr>
        <w:tc>
          <w:tcPr>
            <w:tcW w:w="1885" w:type="dxa"/>
          </w:tcPr>
          <w:p w14:paraId="3F752BBD" w14:textId="1CC19EA8" w:rsidR="00321458" w:rsidRDefault="00321458" w:rsidP="00321458">
            <w:r>
              <w:t>Economic Development Administration</w:t>
            </w:r>
          </w:p>
        </w:tc>
        <w:tc>
          <w:tcPr>
            <w:tcW w:w="1710" w:type="dxa"/>
          </w:tcPr>
          <w:p w14:paraId="0D1BC56F" w14:textId="4AF04276" w:rsidR="00321458" w:rsidRDefault="00321458" w:rsidP="00321458">
            <w:r>
              <w:t>Various</w:t>
            </w:r>
          </w:p>
        </w:tc>
        <w:tc>
          <w:tcPr>
            <w:tcW w:w="2790" w:type="dxa"/>
          </w:tcPr>
          <w:p w14:paraId="7D71E9A5" w14:textId="7E3281E1" w:rsidR="00321458" w:rsidRDefault="00321458" w:rsidP="00321458">
            <w:pPr>
              <w:rPr>
                <w:rStyle w:val="Hyperlink"/>
              </w:rPr>
            </w:pPr>
            <w:hyperlink r:id="rId22" w:history="1">
              <w:r w:rsidRPr="00C56BC0">
                <w:rPr>
                  <w:rStyle w:val="Hyperlink"/>
                </w:rPr>
                <w:t>https://www.eda.gov/funding-opportunities/</w:t>
              </w:r>
            </w:hyperlink>
          </w:p>
        </w:tc>
        <w:tc>
          <w:tcPr>
            <w:tcW w:w="5040" w:type="dxa"/>
          </w:tcPr>
          <w:p w14:paraId="161D533C" w14:textId="72AD8CD8" w:rsidR="00321458" w:rsidRDefault="00321458" w:rsidP="00321458">
            <w:r>
              <w:t>Promotes innovation and competitiveness, preparing American regions for growth and success in the worldwide economy.</w:t>
            </w:r>
          </w:p>
        </w:tc>
        <w:tc>
          <w:tcPr>
            <w:tcW w:w="1620" w:type="dxa"/>
          </w:tcPr>
          <w:p w14:paraId="7E0ED4AC" w14:textId="07014145" w:rsidR="00321458" w:rsidRDefault="00321458" w:rsidP="00321458">
            <w:r>
              <w:t>various</w:t>
            </w:r>
          </w:p>
        </w:tc>
        <w:tc>
          <w:tcPr>
            <w:tcW w:w="1170" w:type="dxa"/>
          </w:tcPr>
          <w:p w14:paraId="1A01CD50" w14:textId="77777777" w:rsidR="00321458" w:rsidRPr="00D24138" w:rsidRDefault="00321458" w:rsidP="00321458"/>
        </w:tc>
      </w:tr>
      <w:tr w:rsidR="00200EB0" w:rsidRPr="00D24138" w14:paraId="648E1079" w14:textId="77777777" w:rsidTr="004A0FCE">
        <w:trPr>
          <w:trHeight w:val="1097"/>
        </w:trPr>
        <w:tc>
          <w:tcPr>
            <w:tcW w:w="1885" w:type="dxa"/>
          </w:tcPr>
          <w:p w14:paraId="7F48CD95" w14:textId="77777777" w:rsidR="00200EB0" w:rsidRPr="00D24138" w:rsidRDefault="00200EB0" w:rsidP="00296374">
            <w:r>
              <w:t>Institute for Museum and Library Services</w:t>
            </w:r>
          </w:p>
        </w:tc>
        <w:tc>
          <w:tcPr>
            <w:tcW w:w="1710" w:type="dxa"/>
          </w:tcPr>
          <w:p w14:paraId="2703C1CB" w14:textId="77777777" w:rsidR="00200EB0" w:rsidRPr="00D24138" w:rsidRDefault="00200EB0" w:rsidP="00296374">
            <w:r>
              <w:t>Various</w:t>
            </w:r>
          </w:p>
        </w:tc>
        <w:tc>
          <w:tcPr>
            <w:tcW w:w="2790" w:type="dxa"/>
          </w:tcPr>
          <w:p w14:paraId="562E5B8A" w14:textId="77777777" w:rsidR="00200EB0" w:rsidRPr="00D24138" w:rsidRDefault="005643F3" w:rsidP="00200EB0">
            <w:hyperlink r:id="rId23" w:history="1">
              <w:r w:rsidR="00200EB0" w:rsidRPr="00C56BC0">
                <w:rPr>
                  <w:rStyle w:val="Hyperlink"/>
                </w:rPr>
                <w:t>https://www.imls.gov/</w:t>
              </w:r>
            </w:hyperlink>
          </w:p>
        </w:tc>
        <w:tc>
          <w:tcPr>
            <w:tcW w:w="5040" w:type="dxa"/>
          </w:tcPr>
          <w:p w14:paraId="4B7AB252" w14:textId="160CBB4A" w:rsidR="00200EB0" w:rsidRPr="00D24138" w:rsidRDefault="00200EB0" w:rsidP="00296374">
            <w:r>
              <w:t>Primary source of federal support for the nation’s libraries and museums.</w:t>
            </w:r>
            <w:r w:rsidR="00563267">
              <w:t xml:space="preserve"> Aims to a</w:t>
            </w:r>
            <w:r w:rsidR="00563267" w:rsidRPr="00563267">
              <w:t>dvance, support, and empower America's museums, libraries, and related organizations.</w:t>
            </w:r>
          </w:p>
        </w:tc>
        <w:tc>
          <w:tcPr>
            <w:tcW w:w="1620" w:type="dxa"/>
          </w:tcPr>
          <w:p w14:paraId="3D17D0ED" w14:textId="0179D47D" w:rsidR="00200EB0" w:rsidRPr="00D24138" w:rsidRDefault="00563267" w:rsidP="00296374">
            <w:r>
              <w:t>various</w:t>
            </w:r>
          </w:p>
        </w:tc>
        <w:tc>
          <w:tcPr>
            <w:tcW w:w="1170" w:type="dxa"/>
          </w:tcPr>
          <w:p w14:paraId="55B6E578" w14:textId="63B39EC0" w:rsidR="00200EB0" w:rsidRPr="00D24138" w:rsidRDefault="00200EB0" w:rsidP="00296374"/>
        </w:tc>
      </w:tr>
      <w:tr w:rsidR="00321458" w:rsidRPr="00D24138" w14:paraId="37B085C6" w14:textId="77777777" w:rsidTr="004A0FCE">
        <w:trPr>
          <w:trHeight w:val="375"/>
        </w:trPr>
        <w:tc>
          <w:tcPr>
            <w:tcW w:w="1885" w:type="dxa"/>
          </w:tcPr>
          <w:p w14:paraId="2396C277" w14:textId="5EEFC461" w:rsidR="00321458" w:rsidRDefault="00321458" w:rsidP="00321458">
            <w:r>
              <w:t>National Archives</w:t>
            </w:r>
          </w:p>
        </w:tc>
        <w:tc>
          <w:tcPr>
            <w:tcW w:w="1710" w:type="dxa"/>
          </w:tcPr>
          <w:p w14:paraId="69AF1B48" w14:textId="2F4DAF48" w:rsidR="00321458" w:rsidRDefault="00321458" w:rsidP="00321458">
            <w:r>
              <w:t>Various</w:t>
            </w:r>
          </w:p>
        </w:tc>
        <w:tc>
          <w:tcPr>
            <w:tcW w:w="2790" w:type="dxa"/>
          </w:tcPr>
          <w:p w14:paraId="7DB68101" w14:textId="524A222A" w:rsidR="00321458" w:rsidRPr="00563267" w:rsidRDefault="00321458" w:rsidP="00321458">
            <w:pPr>
              <w:rPr>
                <w:rStyle w:val="Hyperlink"/>
              </w:rPr>
            </w:pPr>
            <w:hyperlink r:id="rId24" w:history="1">
              <w:r w:rsidRPr="00C56BC0">
                <w:rPr>
                  <w:rStyle w:val="Hyperlink"/>
                </w:rPr>
                <w:t>https://www.archives.gov/nhprc/announcement</w:t>
              </w:r>
            </w:hyperlink>
          </w:p>
        </w:tc>
        <w:tc>
          <w:tcPr>
            <w:tcW w:w="5040" w:type="dxa"/>
          </w:tcPr>
          <w:p w14:paraId="5D7FFA20" w14:textId="010D8A44" w:rsidR="00321458" w:rsidRDefault="00321458" w:rsidP="00321458">
            <w:r>
              <w:t>Promotes the preservation and use of America’s documentary heritage essential to understanding our democracy, history and culture</w:t>
            </w:r>
          </w:p>
        </w:tc>
        <w:tc>
          <w:tcPr>
            <w:tcW w:w="1620" w:type="dxa"/>
          </w:tcPr>
          <w:p w14:paraId="11AB73B9" w14:textId="7F7E007B" w:rsidR="00321458" w:rsidRDefault="00321458" w:rsidP="00321458">
            <w:r>
              <w:t>various</w:t>
            </w:r>
          </w:p>
        </w:tc>
        <w:tc>
          <w:tcPr>
            <w:tcW w:w="1170" w:type="dxa"/>
          </w:tcPr>
          <w:p w14:paraId="7983285E" w14:textId="77777777" w:rsidR="00321458" w:rsidRPr="00D24138" w:rsidRDefault="00321458" w:rsidP="00321458"/>
        </w:tc>
      </w:tr>
      <w:tr w:rsidR="00200EB0" w:rsidRPr="00D24138" w14:paraId="248DE31A" w14:textId="77777777" w:rsidTr="004A0FCE">
        <w:trPr>
          <w:trHeight w:val="375"/>
        </w:trPr>
        <w:tc>
          <w:tcPr>
            <w:tcW w:w="1885" w:type="dxa"/>
          </w:tcPr>
          <w:p w14:paraId="391AD0AB" w14:textId="77777777" w:rsidR="00200EB0" w:rsidRPr="00D24138" w:rsidRDefault="00200EB0" w:rsidP="00296374">
            <w:r>
              <w:t>National Endowment for the Arts</w:t>
            </w:r>
          </w:p>
        </w:tc>
        <w:tc>
          <w:tcPr>
            <w:tcW w:w="1710" w:type="dxa"/>
          </w:tcPr>
          <w:p w14:paraId="54C3FA60" w14:textId="77777777" w:rsidR="00200EB0" w:rsidRPr="00D24138" w:rsidRDefault="00200EB0" w:rsidP="00296374">
            <w:r>
              <w:t>Various</w:t>
            </w:r>
          </w:p>
        </w:tc>
        <w:tc>
          <w:tcPr>
            <w:tcW w:w="2790" w:type="dxa"/>
          </w:tcPr>
          <w:p w14:paraId="7D690EEF" w14:textId="0D6B0393" w:rsidR="00200EB0" w:rsidRPr="00D24138" w:rsidRDefault="00563267" w:rsidP="00296374">
            <w:r w:rsidRPr="00563267">
              <w:rPr>
                <w:rStyle w:val="Hyperlink"/>
              </w:rPr>
              <w:t>https://www.arts.gov/grants</w:t>
            </w:r>
          </w:p>
        </w:tc>
        <w:tc>
          <w:tcPr>
            <w:tcW w:w="5040" w:type="dxa"/>
          </w:tcPr>
          <w:p w14:paraId="426EF3C4" w14:textId="77777777" w:rsidR="00200EB0" w:rsidRPr="00D24138" w:rsidRDefault="004527D0" w:rsidP="00296374">
            <w:r>
              <w:t>Funds, promotes, and strengthens the creative capacity of our communities by providing all Americans with diverse opportunities for arts participation</w:t>
            </w:r>
            <w:r w:rsidR="0089207E">
              <w:t>.</w:t>
            </w:r>
          </w:p>
        </w:tc>
        <w:tc>
          <w:tcPr>
            <w:tcW w:w="1620" w:type="dxa"/>
          </w:tcPr>
          <w:p w14:paraId="358A734E" w14:textId="371B2F43" w:rsidR="00200EB0" w:rsidRPr="00D24138" w:rsidRDefault="00563267" w:rsidP="00296374">
            <w:r>
              <w:t>various</w:t>
            </w:r>
          </w:p>
        </w:tc>
        <w:tc>
          <w:tcPr>
            <w:tcW w:w="1170" w:type="dxa"/>
          </w:tcPr>
          <w:p w14:paraId="1B764DA8" w14:textId="702F797E" w:rsidR="00200EB0" w:rsidRPr="00D24138" w:rsidRDefault="00200EB0" w:rsidP="00296374"/>
        </w:tc>
      </w:tr>
      <w:tr w:rsidR="00200EB0" w:rsidRPr="00D24138" w14:paraId="412C5078" w14:textId="77777777" w:rsidTr="004A0FCE">
        <w:trPr>
          <w:trHeight w:val="375"/>
        </w:trPr>
        <w:tc>
          <w:tcPr>
            <w:tcW w:w="1885" w:type="dxa"/>
          </w:tcPr>
          <w:p w14:paraId="724E1158" w14:textId="77777777" w:rsidR="00200EB0" w:rsidRPr="00D24138" w:rsidRDefault="004527D0" w:rsidP="00296374">
            <w:r>
              <w:t>National Endowment for the Humanities</w:t>
            </w:r>
          </w:p>
        </w:tc>
        <w:tc>
          <w:tcPr>
            <w:tcW w:w="1710" w:type="dxa"/>
          </w:tcPr>
          <w:p w14:paraId="37FC3FF3" w14:textId="77777777" w:rsidR="00200EB0" w:rsidRPr="00D24138" w:rsidRDefault="004527D0" w:rsidP="00296374">
            <w:r>
              <w:t>Various</w:t>
            </w:r>
          </w:p>
        </w:tc>
        <w:tc>
          <w:tcPr>
            <w:tcW w:w="2790" w:type="dxa"/>
          </w:tcPr>
          <w:p w14:paraId="632E252B" w14:textId="5C046933" w:rsidR="00200EB0" w:rsidRPr="00D24138" w:rsidRDefault="00563267" w:rsidP="00296374">
            <w:r w:rsidRPr="00563267">
              <w:rPr>
                <w:rStyle w:val="Hyperlink"/>
              </w:rPr>
              <w:t>https://www.neh.gov/grants</w:t>
            </w:r>
          </w:p>
        </w:tc>
        <w:tc>
          <w:tcPr>
            <w:tcW w:w="5040" w:type="dxa"/>
          </w:tcPr>
          <w:p w14:paraId="7C54BEEE" w14:textId="74679001" w:rsidR="00200EB0" w:rsidRPr="00D24138" w:rsidRDefault="00563267" w:rsidP="00563267">
            <w:r>
              <w:t>S</w:t>
            </w:r>
            <w:r w:rsidRPr="00563267">
              <w:t>upports research, education, preservation, and public programs in the humanities.</w:t>
            </w:r>
          </w:p>
        </w:tc>
        <w:tc>
          <w:tcPr>
            <w:tcW w:w="1620" w:type="dxa"/>
          </w:tcPr>
          <w:p w14:paraId="5A2DA845" w14:textId="73CDA4AE" w:rsidR="00200EB0" w:rsidRPr="00D24138" w:rsidRDefault="00321458" w:rsidP="00296374">
            <w:r>
              <w:t>various</w:t>
            </w:r>
          </w:p>
        </w:tc>
        <w:tc>
          <w:tcPr>
            <w:tcW w:w="1170" w:type="dxa"/>
          </w:tcPr>
          <w:p w14:paraId="249D49FE" w14:textId="1A3B0166" w:rsidR="00200EB0" w:rsidRPr="00D24138" w:rsidRDefault="00200EB0" w:rsidP="00296374"/>
        </w:tc>
      </w:tr>
      <w:tr w:rsidR="005E3C97" w:rsidRPr="00D24138" w14:paraId="73782A73" w14:textId="77777777" w:rsidTr="004A0FCE">
        <w:trPr>
          <w:trHeight w:val="375"/>
        </w:trPr>
        <w:tc>
          <w:tcPr>
            <w:tcW w:w="1885" w:type="dxa"/>
          </w:tcPr>
          <w:p w14:paraId="2B9C25F4" w14:textId="77777777" w:rsidR="005E3C97" w:rsidRDefault="00E760C4" w:rsidP="00296374">
            <w:r>
              <w:t xml:space="preserve">National Park Service </w:t>
            </w:r>
          </w:p>
        </w:tc>
        <w:tc>
          <w:tcPr>
            <w:tcW w:w="1710" w:type="dxa"/>
          </w:tcPr>
          <w:p w14:paraId="2068C2E8" w14:textId="77777777" w:rsidR="005E3C97" w:rsidRDefault="00E760C4" w:rsidP="00296374">
            <w:r>
              <w:t>Historic Preservation grants</w:t>
            </w:r>
          </w:p>
        </w:tc>
        <w:tc>
          <w:tcPr>
            <w:tcW w:w="2790" w:type="dxa"/>
          </w:tcPr>
          <w:p w14:paraId="6E09F9C6" w14:textId="77777777" w:rsidR="005E3C97" w:rsidRPr="005E3C97" w:rsidRDefault="005643F3" w:rsidP="00296374">
            <w:hyperlink r:id="rId25" w:history="1">
              <w:r w:rsidR="00E760C4" w:rsidRPr="00C56BC0">
                <w:rPr>
                  <w:rStyle w:val="Hyperlink"/>
                </w:rPr>
                <w:t>https://www.nps.gov/subjects/historicpreservation/fund.htm</w:t>
              </w:r>
            </w:hyperlink>
          </w:p>
        </w:tc>
        <w:tc>
          <w:tcPr>
            <w:tcW w:w="5040" w:type="dxa"/>
          </w:tcPr>
          <w:p w14:paraId="0FC00350" w14:textId="77777777" w:rsidR="005E3C97" w:rsidRDefault="00E760C4" w:rsidP="00296374">
            <w:r>
              <w:t>Preservation projects include a wide range of activities from bricks-and-mortar rehabilitation to neighborhood surveys and documentation efforts</w:t>
            </w:r>
            <w:r w:rsidR="0089207E">
              <w:t>.</w:t>
            </w:r>
          </w:p>
        </w:tc>
        <w:tc>
          <w:tcPr>
            <w:tcW w:w="1620" w:type="dxa"/>
          </w:tcPr>
          <w:p w14:paraId="544BDA92" w14:textId="5C1E58C9" w:rsidR="005E3C97" w:rsidRDefault="00321458" w:rsidP="00296374">
            <w:r>
              <w:t>various</w:t>
            </w:r>
          </w:p>
        </w:tc>
        <w:tc>
          <w:tcPr>
            <w:tcW w:w="1170" w:type="dxa"/>
          </w:tcPr>
          <w:p w14:paraId="7D0CE9F4" w14:textId="48A6C3CF" w:rsidR="005E3C97" w:rsidRDefault="005E3C97" w:rsidP="00296374"/>
        </w:tc>
      </w:tr>
      <w:tr w:rsidR="00321458" w:rsidRPr="00321458" w14:paraId="3F4B9D73" w14:textId="77777777" w:rsidTr="004A0FCE">
        <w:trPr>
          <w:trHeight w:val="375"/>
        </w:trPr>
        <w:tc>
          <w:tcPr>
            <w:tcW w:w="1885" w:type="dxa"/>
          </w:tcPr>
          <w:p w14:paraId="39560FB5" w14:textId="04B144FA" w:rsidR="00321458" w:rsidRPr="00321458" w:rsidRDefault="00321458" w:rsidP="00321458">
            <w:pPr>
              <w:rPr>
                <w:b/>
              </w:rPr>
            </w:pPr>
            <w:r>
              <w:t>National Trust for Historic Preservation</w:t>
            </w:r>
          </w:p>
        </w:tc>
        <w:tc>
          <w:tcPr>
            <w:tcW w:w="1710" w:type="dxa"/>
          </w:tcPr>
          <w:p w14:paraId="35A5767C" w14:textId="1FAFDB3A" w:rsidR="00321458" w:rsidRPr="00321458" w:rsidRDefault="00321458" w:rsidP="00321458">
            <w:pPr>
              <w:rPr>
                <w:b/>
              </w:rPr>
            </w:pPr>
            <w:r>
              <w:t>Various</w:t>
            </w:r>
          </w:p>
        </w:tc>
        <w:tc>
          <w:tcPr>
            <w:tcW w:w="2790" w:type="dxa"/>
          </w:tcPr>
          <w:p w14:paraId="27BF43D2" w14:textId="387A0096" w:rsidR="00321458" w:rsidRPr="00321458" w:rsidRDefault="00321458" w:rsidP="00321458">
            <w:pPr>
              <w:rPr>
                <w:rStyle w:val="Hyperlink"/>
                <w:b/>
              </w:rPr>
            </w:pPr>
            <w:hyperlink r:id="rId26" w:history="1">
              <w:r w:rsidRPr="00C56BC0">
                <w:rPr>
                  <w:rStyle w:val="Hyperlink"/>
                </w:rPr>
                <w:t>https://savingplaces.org/</w:t>
              </w:r>
            </w:hyperlink>
          </w:p>
        </w:tc>
        <w:tc>
          <w:tcPr>
            <w:tcW w:w="5040" w:type="dxa"/>
          </w:tcPr>
          <w:p w14:paraId="6F99A1C8" w14:textId="3B753D07" w:rsidR="00321458" w:rsidRPr="00321458" w:rsidRDefault="00321458" w:rsidP="00321458">
            <w:pPr>
              <w:rPr>
                <w:b/>
              </w:rPr>
            </w:pPr>
            <w:r>
              <w:t>Protects significant places representing our diverse cultural experience by taking direct action and inspiring broad public support.</w:t>
            </w:r>
          </w:p>
        </w:tc>
        <w:tc>
          <w:tcPr>
            <w:tcW w:w="1620" w:type="dxa"/>
          </w:tcPr>
          <w:p w14:paraId="73E07555" w14:textId="1BB31AC6" w:rsidR="00321458" w:rsidRPr="00321458" w:rsidRDefault="00321458" w:rsidP="00321458">
            <w:pPr>
              <w:rPr>
                <w:b/>
              </w:rPr>
            </w:pPr>
            <w:r>
              <w:t>various</w:t>
            </w:r>
          </w:p>
        </w:tc>
        <w:tc>
          <w:tcPr>
            <w:tcW w:w="1170" w:type="dxa"/>
          </w:tcPr>
          <w:p w14:paraId="05022B81" w14:textId="25B3DA34" w:rsidR="00321458" w:rsidRPr="00321458" w:rsidRDefault="00321458" w:rsidP="00321458">
            <w:pPr>
              <w:rPr>
                <w:b/>
              </w:rPr>
            </w:pPr>
          </w:p>
        </w:tc>
      </w:tr>
    </w:tbl>
    <w:p w14:paraId="2C732D5B" w14:textId="77777777" w:rsidR="00200EB0" w:rsidRPr="007942B8" w:rsidRDefault="00200EB0" w:rsidP="00C56BC0">
      <w:pPr>
        <w:tabs>
          <w:tab w:val="left" w:pos="1620"/>
        </w:tabs>
        <w:rPr>
          <w:b/>
          <w:color w:val="FF0000"/>
          <w:sz w:val="28"/>
          <w:szCs w:val="28"/>
          <w:u w:val="single"/>
        </w:rPr>
      </w:pPr>
    </w:p>
    <w:sectPr w:rsidR="00200EB0" w:rsidRPr="007942B8" w:rsidSect="005B596D">
      <w:footerReference w:type="default" r:id="rId27"/>
      <w:pgSz w:w="15840" w:h="12240" w:orient="landscape"/>
      <w:pgMar w:top="720" w:right="720" w:bottom="720" w:left="72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9D159" w14:textId="77777777" w:rsidR="00C8263B" w:rsidRDefault="00C8263B" w:rsidP="00035AD2">
      <w:r>
        <w:separator/>
      </w:r>
    </w:p>
  </w:endnote>
  <w:endnote w:type="continuationSeparator" w:id="0">
    <w:p w14:paraId="22C1A2D3" w14:textId="77777777" w:rsidR="00C8263B" w:rsidRDefault="00C8263B" w:rsidP="0003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mbria Math"/>
    <w:charset w:val="4D"/>
    <w:family w:val="auto"/>
    <w:pitch w:val="variable"/>
    <w:sig w:usb0="A00002BF" w:usb1="5000207B" w:usb2="00000008"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778703"/>
      <w:docPartObj>
        <w:docPartGallery w:val="Page Numbers (Bottom of Page)"/>
        <w:docPartUnique/>
      </w:docPartObj>
    </w:sdtPr>
    <w:sdtEndPr>
      <w:rPr>
        <w:noProof/>
      </w:rPr>
    </w:sdtEndPr>
    <w:sdtContent>
      <w:p w14:paraId="6F77D1F5" w14:textId="77777777" w:rsidR="005B596D" w:rsidRDefault="005B596D">
        <w:pPr>
          <w:pStyle w:val="Footer"/>
          <w:jc w:val="right"/>
        </w:pPr>
        <w:r>
          <w:fldChar w:fldCharType="begin"/>
        </w:r>
        <w:r>
          <w:instrText xml:space="preserve"> PAGE   \* MERGEFORMAT </w:instrText>
        </w:r>
        <w:r>
          <w:fldChar w:fldCharType="separate"/>
        </w:r>
        <w:r w:rsidR="005643F3">
          <w:rPr>
            <w:noProof/>
          </w:rPr>
          <w:t>1</w:t>
        </w:r>
        <w:r>
          <w:rPr>
            <w:noProof/>
          </w:rPr>
          <w:fldChar w:fldCharType="end"/>
        </w:r>
      </w:p>
    </w:sdtContent>
  </w:sdt>
  <w:p w14:paraId="62BE9CC9" w14:textId="77777777" w:rsidR="005B596D" w:rsidRDefault="005B59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4EB49" w14:textId="77777777" w:rsidR="00C8263B" w:rsidRDefault="00C8263B" w:rsidP="00035AD2">
      <w:r>
        <w:separator/>
      </w:r>
    </w:p>
  </w:footnote>
  <w:footnote w:type="continuationSeparator" w:id="0">
    <w:p w14:paraId="59B17D0C" w14:textId="77777777" w:rsidR="00C8263B" w:rsidRDefault="00C8263B" w:rsidP="00035A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814B9"/>
    <w:multiLevelType w:val="hybridMultilevel"/>
    <w:tmpl w:val="9B2C5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935C5"/>
    <w:multiLevelType w:val="hybridMultilevel"/>
    <w:tmpl w:val="27568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972E9"/>
    <w:multiLevelType w:val="hybridMultilevel"/>
    <w:tmpl w:val="706C744A"/>
    <w:lvl w:ilvl="0" w:tplc="B87010F8">
      <w:start w:val="1"/>
      <w:numFmt w:val="decimal"/>
      <w:lvlText w:val="%1."/>
      <w:lvlJc w:val="left"/>
      <w:pPr>
        <w:ind w:left="720" w:hanging="360"/>
      </w:pPr>
      <w:rPr>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C6E7D"/>
    <w:multiLevelType w:val="hybridMultilevel"/>
    <w:tmpl w:val="4D1CC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A545F"/>
    <w:multiLevelType w:val="hybridMultilevel"/>
    <w:tmpl w:val="17CE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016B0"/>
    <w:multiLevelType w:val="hybridMultilevel"/>
    <w:tmpl w:val="3A60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C1212"/>
    <w:multiLevelType w:val="hybridMultilevel"/>
    <w:tmpl w:val="27568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674F9"/>
    <w:multiLevelType w:val="multilevel"/>
    <w:tmpl w:val="6FA0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336430"/>
    <w:multiLevelType w:val="hybridMultilevel"/>
    <w:tmpl w:val="4D1CC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7"/>
  </w:num>
  <w:num w:numId="6">
    <w:abstractNumId w:val="8"/>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D2"/>
    <w:rsid w:val="00035AD2"/>
    <w:rsid w:val="00092EBD"/>
    <w:rsid w:val="000B2A54"/>
    <w:rsid w:val="00113828"/>
    <w:rsid w:val="00146670"/>
    <w:rsid w:val="001A2588"/>
    <w:rsid w:val="001B3477"/>
    <w:rsid w:val="001D2155"/>
    <w:rsid w:val="001D28DF"/>
    <w:rsid w:val="001E4C0F"/>
    <w:rsid w:val="00200EB0"/>
    <w:rsid w:val="0021100C"/>
    <w:rsid w:val="00271BFB"/>
    <w:rsid w:val="00284AD5"/>
    <w:rsid w:val="002E78DE"/>
    <w:rsid w:val="00320AD3"/>
    <w:rsid w:val="00321458"/>
    <w:rsid w:val="00363F49"/>
    <w:rsid w:val="00371E76"/>
    <w:rsid w:val="003911DA"/>
    <w:rsid w:val="004527D0"/>
    <w:rsid w:val="004A0FCE"/>
    <w:rsid w:val="004A3DD8"/>
    <w:rsid w:val="00554C56"/>
    <w:rsid w:val="00563267"/>
    <w:rsid w:val="005643F3"/>
    <w:rsid w:val="00564F89"/>
    <w:rsid w:val="00576244"/>
    <w:rsid w:val="00580BA0"/>
    <w:rsid w:val="0058541C"/>
    <w:rsid w:val="005B596D"/>
    <w:rsid w:val="005D37A6"/>
    <w:rsid w:val="005E3C97"/>
    <w:rsid w:val="005E5E75"/>
    <w:rsid w:val="005F4A35"/>
    <w:rsid w:val="0060130D"/>
    <w:rsid w:val="006927B9"/>
    <w:rsid w:val="006B0CAB"/>
    <w:rsid w:val="006B12B8"/>
    <w:rsid w:val="00720CA0"/>
    <w:rsid w:val="00746964"/>
    <w:rsid w:val="00760099"/>
    <w:rsid w:val="007616E0"/>
    <w:rsid w:val="0077313B"/>
    <w:rsid w:val="00777BCD"/>
    <w:rsid w:val="00786FE3"/>
    <w:rsid w:val="007942B8"/>
    <w:rsid w:val="007A0ADF"/>
    <w:rsid w:val="007A2CB3"/>
    <w:rsid w:val="007B4848"/>
    <w:rsid w:val="007D5DB1"/>
    <w:rsid w:val="0080679F"/>
    <w:rsid w:val="00830782"/>
    <w:rsid w:val="00837A10"/>
    <w:rsid w:val="0089207E"/>
    <w:rsid w:val="008B44D6"/>
    <w:rsid w:val="008C479C"/>
    <w:rsid w:val="009375B3"/>
    <w:rsid w:val="009655C1"/>
    <w:rsid w:val="009B0685"/>
    <w:rsid w:val="009D4056"/>
    <w:rsid w:val="009F3F87"/>
    <w:rsid w:val="00A11D8A"/>
    <w:rsid w:val="00A30990"/>
    <w:rsid w:val="00A35DC3"/>
    <w:rsid w:val="00A43E8D"/>
    <w:rsid w:val="00A52CD0"/>
    <w:rsid w:val="00A576B2"/>
    <w:rsid w:val="00A70E15"/>
    <w:rsid w:val="00AE0F6E"/>
    <w:rsid w:val="00B93791"/>
    <w:rsid w:val="00BB4919"/>
    <w:rsid w:val="00BD7E26"/>
    <w:rsid w:val="00BE047B"/>
    <w:rsid w:val="00BE7836"/>
    <w:rsid w:val="00C0566F"/>
    <w:rsid w:val="00C1599E"/>
    <w:rsid w:val="00C4614E"/>
    <w:rsid w:val="00C56BC0"/>
    <w:rsid w:val="00C61BCB"/>
    <w:rsid w:val="00C8263B"/>
    <w:rsid w:val="00C947D5"/>
    <w:rsid w:val="00CD2FCF"/>
    <w:rsid w:val="00D02610"/>
    <w:rsid w:val="00D24138"/>
    <w:rsid w:val="00DA1931"/>
    <w:rsid w:val="00DB039A"/>
    <w:rsid w:val="00DD01FD"/>
    <w:rsid w:val="00DF20AA"/>
    <w:rsid w:val="00DF7EBC"/>
    <w:rsid w:val="00E760C4"/>
    <w:rsid w:val="00E7736E"/>
    <w:rsid w:val="00F77A8C"/>
    <w:rsid w:val="00F8264F"/>
    <w:rsid w:val="00F96F6A"/>
    <w:rsid w:val="00FD7D9B"/>
    <w:rsid w:val="00FF5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37B1"/>
  <w15:chartTrackingRefBased/>
  <w15:docId w15:val="{D2850527-26CF-49E4-B731-394D78EA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91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AD2"/>
    <w:pPr>
      <w:tabs>
        <w:tab w:val="center" w:pos="4680"/>
        <w:tab w:val="right" w:pos="9360"/>
      </w:tabs>
    </w:pPr>
    <w:rPr>
      <w:rFonts w:ascii="Merriweather" w:eastAsiaTheme="minorHAnsi" w:hAnsi="Merriweather" w:cstheme="minorBidi"/>
      <w:sz w:val="20"/>
      <w:szCs w:val="20"/>
    </w:rPr>
  </w:style>
  <w:style w:type="character" w:customStyle="1" w:styleId="HeaderChar">
    <w:name w:val="Header Char"/>
    <w:basedOn w:val="DefaultParagraphFont"/>
    <w:link w:val="Header"/>
    <w:uiPriority w:val="99"/>
    <w:rsid w:val="00035AD2"/>
  </w:style>
  <w:style w:type="paragraph" w:styleId="Footer">
    <w:name w:val="footer"/>
    <w:basedOn w:val="Normal"/>
    <w:link w:val="FooterChar"/>
    <w:uiPriority w:val="99"/>
    <w:unhideWhenUsed/>
    <w:rsid w:val="00035AD2"/>
    <w:pPr>
      <w:tabs>
        <w:tab w:val="center" w:pos="4680"/>
        <w:tab w:val="right" w:pos="9360"/>
      </w:tabs>
    </w:pPr>
    <w:rPr>
      <w:rFonts w:ascii="Merriweather" w:eastAsiaTheme="minorHAnsi" w:hAnsi="Merriweather" w:cstheme="minorBidi"/>
      <w:sz w:val="20"/>
      <w:szCs w:val="20"/>
    </w:rPr>
  </w:style>
  <w:style w:type="character" w:customStyle="1" w:styleId="FooterChar">
    <w:name w:val="Footer Char"/>
    <w:basedOn w:val="DefaultParagraphFont"/>
    <w:link w:val="Footer"/>
    <w:uiPriority w:val="99"/>
    <w:rsid w:val="00035AD2"/>
  </w:style>
  <w:style w:type="character" w:customStyle="1" w:styleId="insider1">
    <w:name w:val="insider1"/>
    <w:basedOn w:val="DefaultParagraphFont"/>
    <w:rsid w:val="00035AD2"/>
  </w:style>
  <w:style w:type="character" w:styleId="Strong">
    <w:name w:val="Strong"/>
    <w:basedOn w:val="DefaultParagraphFont"/>
    <w:uiPriority w:val="22"/>
    <w:qFormat/>
    <w:rsid w:val="00035AD2"/>
    <w:rPr>
      <w:b/>
      <w:bCs/>
    </w:rPr>
  </w:style>
  <w:style w:type="character" w:styleId="Hyperlink">
    <w:name w:val="Hyperlink"/>
    <w:uiPriority w:val="99"/>
    <w:rsid w:val="00092EBD"/>
    <w:rPr>
      <w:color w:val="0000FF"/>
      <w:u w:val="single"/>
    </w:rPr>
  </w:style>
  <w:style w:type="paragraph" w:styleId="ListParagraph">
    <w:name w:val="List Paragraph"/>
    <w:basedOn w:val="Normal"/>
    <w:uiPriority w:val="34"/>
    <w:qFormat/>
    <w:rsid w:val="00092EBD"/>
    <w:pPr>
      <w:ind w:left="720"/>
      <w:contextualSpacing/>
    </w:pPr>
  </w:style>
  <w:style w:type="character" w:customStyle="1" w:styleId="text">
    <w:name w:val="text"/>
    <w:basedOn w:val="DefaultParagraphFont"/>
    <w:rsid w:val="00DF20AA"/>
  </w:style>
  <w:style w:type="paragraph" w:styleId="NormalWeb">
    <w:name w:val="Normal (Web)"/>
    <w:basedOn w:val="Normal"/>
    <w:uiPriority w:val="99"/>
    <w:semiHidden/>
    <w:unhideWhenUsed/>
    <w:rsid w:val="00C1599E"/>
    <w:pPr>
      <w:spacing w:before="100" w:beforeAutospacing="1" w:after="100" w:afterAutospacing="1"/>
    </w:pPr>
  </w:style>
  <w:style w:type="paragraph" w:styleId="BalloonText">
    <w:name w:val="Balloon Text"/>
    <w:basedOn w:val="Normal"/>
    <w:link w:val="BalloonTextChar"/>
    <w:uiPriority w:val="99"/>
    <w:semiHidden/>
    <w:unhideWhenUsed/>
    <w:rsid w:val="00C15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99E"/>
    <w:rPr>
      <w:rFonts w:ascii="Segoe UI" w:hAnsi="Segoe UI" w:cs="Segoe UI"/>
      <w:sz w:val="18"/>
      <w:szCs w:val="18"/>
    </w:rPr>
  </w:style>
  <w:style w:type="table" w:styleId="TableGrid">
    <w:name w:val="Table Grid"/>
    <w:basedOn w:val="TableNormal"/>
    <w:uiPriority w:val="39"/>
    <w:rsid w:val="00777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44D6"/>
  </w:style>
  <w:style w:type="character" w:styleId="FollowedHyperlink">
    <w:name w:val="FollowedHyperlink"/>
    <w:basedOn w:val="DefaultParagraphFont"/>
    <w:uiPriority w:val="99"/>
    <w:semiHidden/>
    <w:unhideWhenUsed/>
    <w:rsid w:val="00C56B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1360">
      <w:bodyDiv w:val="1"/>
      <w:marLeft w:val="0"/>
      <w:marRight w:val="0"/>
      <w:marTop w:val="0"/>
      <w:marBottom w:val="0"/>
      <w:divBdr>
        <w:top w:val="none" w:sz="0" w:space="0" w:color="auto"/>
        <w:left w:val="none" w:sz="0" w:space="0" w:color="auto"/>
        <w:bottom w:val="none" w:sz="0" w:space="0" w:color="auto"/>
        <w:right w:val="none" w:sz="0" w:space="0" w:color="auto"/>
      </w:divBdr>
    </w:div>
    <w:div w:id="73628494">
      <w:bodyDiv w:val="1"/>
      <w:marLeft w:val="0"/>
      <w:marRight w:val="0"/>
      <w:marTop w:val="0"/>
      <w:marBottom w:val="0"/>
      <w:divBdr>
        <w:top w:val="none" w:sz="0" w:space="0" w:color="auto"/>
        <w:left w:val="none" w:sz="0" w:space="0" w:color="auto"/>
        <w:bottom w:val="none" w:sz="0" w:space="0" w:color="auto"/>
        <w:right w:val="none" w:sz="0" w:space="0" w:color="auto"/>
      </w:divBdr>
    </w:div>
    <w:div w:id="378019849">
      <w:bodyDiv w:val="1"/>
      <w:marLeft w:val="0"/>
      <w:marRight w:val="0"/>
      <w:marTop w:val="0"/>
      <w:marBottom w:val="0"/>
      <w:divBdr>
        <w:top w:val="none" w:sz="0" w:space="0" w:color="auto"/>
        <w:left w:val="none" w:sz="0" w:space="0" w:color="auto"/>
        <w:bottom w:val="none" w:sz="0" w:space="0" w:color="auto"/>
        <w:right w:val="none" w:sz="0" w:space="0" w:color="auto"/>
      </w:divBdr>
    </w:div>
    <w:div w:id="421729548">
      <w:bodyDiv w:val="1"/>
      <w:marLeft w:val="0"/>
      <w:marRight w:val="0"/>
      <w:marTop w:val="0"/>
      <w:marBottom w:val="0"/>
      <w:divBdr>
        <w:top w:val="none" w:sz="0" w:space="0" w:color="auto"/>
        <w:left w:val="none" w:sz="0" w:space="0" w:color="auto"/>
        <w:bottom w:val="none" w:sz="0" w:space="0" w:color="auto"/>
        <w:right w:val="none" w:sz="0" w:space="0" w:color="auto"/>
      </w:divBdr>
    </w:div>
    <w:div w:id="504131998">
      <w:bodyDiv w:val="1"/>
      <w:marLeft w:val="0"/>
      <w:marRight w:val="0"/>
      <w:marTop w:val="0"/>
      <w:marBottom w:val="0"/>
      <w:divBdr>
        <w:top w:val="none" w:sz="0" w:space="0" w:color="auto"/>
        <w:left w:val="none" w:sz="0" w:space="0" w:color="auto"/>
        <w:bottom w:val="none" w:sz="0" w:space="0" w:color="auto"/>
        <w:right w:val="none" w:sz="0" w:space="0" w:color="auto"/>
      </w:divBdr>
    </w:div>
    <w:div w:id="776368751">
      <w:bodyDiv w:val="1"/>
      <w:marLeft w:val="0"/>
      <w:marRight w:val="0"/>
      <w:marTop w:val="0"/>
      <w:marBottom w:val="0"/>
      <w:divBdr>
        <w:top w:val="none" w:sz="0" w:space="0" w:color="auto"/>
        <w:left w:val="none" w:sz="0" w:space="0" w:color="auto"/>
        <w:bottom w:val="none" w:sz="0" w:space="0" w:color="auto"/>
        <w:right w:val="none" w:sz="0" w:space="0" w:color="auto"/>
      </w:divBdr>
    </w:div>
    <w:div w:id="816141443">
      <w:bodyDiv w:val="1"/>
      <w:marLeft w:val="0"/>
      <w:marRight w:val="0"/>
      <w:marTop w:val="0"/>
      <w:marBottom w:val="0"/>
      <w:divBdr>
        <w:top w:val="none" w:sz="0" w:space="0" w:color="auto"/>
        <w:left w:val="none" w:sz="0" w:space="0" w:color="auto"/>
        <w:bottom w:val="none" w:sz="0" w:space="0" w:color="auto"/>
        <w:right w:val="none" w:sz="0" w:space="0" w:color="auto"/>
      </w:divBdr>
    </w:div>
    <w:div w:id="890700481">
      <w:bodyDiv w:val="1"/>
      <w:marLeft w:val="0"/>
      <w:marRight w:val="0"/>
      <w:marTop w:val="0"/>
      <w:marBottom w:val="0"/>
      <w:divBdr>
        <w:top w:val="none" w:sz="0" w:space="0" w:color="auto"/>
        <w:left w:val="none" w:sz="0" w:space="0" w:color="auto"/>
        <w:bottom w:val="none" w:sz="0" w:space="0" w:color="auto"/>
        <w:right w:val="none" w:sz="0" w:space="0" w:color="auto"/>
      </w:divBdr>
      <w:divsChild>
        <w:div w:id="1047948937">
          <w:marLeft w:val="0"/>
          <w:marRight w:val="0"/>
          <w:marTop w:val="0"/>
          <w:marBottom w:val="0"/>
          <w:divBdr>
            <w:top w:val="none" w:sz="0" w:space="0" w:color="auto"/>
            <w:left w:val="none" w:sz="0" w:space="0" w:color="auto"/>
            <w:bottom w:val="none" w:sz="0" w:space="0" w:color="auto"/>
            <w:right w:val="none" w:sz="0" w:space="0" w:color="auto"/>
          </w:divBdr>
        </w:div>
      </w:divsChild>
    </w:div>
    <w:div w:id="182507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bsmt.com/company-info/community-involvement/community-giving" TargetMode="External"/><Relationship Id="rId13" Type="http://schemas.openxmlformats.org/officeDocument/2006/relationships/hyperlink" Target="http://www.dpwfoundation.org/?page_id=323" TargetMode="External"/><Relationship Id="rId18" Type="http://schemas.openxmlformats.org/officeDocument/2006/relationships/hyperlink" Target="https://www.mthistory.org/grants/" TargetMode="External"/><Relationship Id="rId26" Type="http://schemas.openxmlformats.org/officeDocument/2006/relationships/hyperlink" Target="https://savingplaces.org/" TargetMode="External"/><Relationship Id="rId3" Type="http://schemas.openxmlformats.org/officeDocument/2006/relationships/settings" Target="settings.xml"/><Relationship Id="rId21" Type="http://schemas.openxmlformats.org/officeDocument/2006/relationships/hyperlink" Target="https://www.rd.usda.gov/programs-services/all-programs" TargetMode="External"/><Relationship Id="rId7" Type="http://schemas.openxmlformats.org/officeDocument/2006/relationships/image" Target="media/image1.png"/><Relationship Id="rId12" Type="http://schemas.openxmlformats.org/officeDocument/2006/relationships/hyperlink" Target="http://www.dpwfoundation.org/?page_id=323" TargetMode="External"/><Relationship Id="rId17" Type="http://schemas.openxmlformats.org/officeDocument/2006/relationships/hyperlink" Target="https://murdocktrust.org/grant-opportunities/" TargetMode="External"/><Relationship Id="rId25" Type="http://schemas.openxmlformats.org/officeDocument/2006/relationships/hyperlink" Target="https://www.nps.gov/subjects/historicpreservation/fund.htm" TargetMode="External"/><Relationship Id="rId2" Type="http://schemas.openxmlformats.org/officeDocument/2006/relationships/styles" Target="styles.xml"/><Relationship Id="rId16" Type="http://schemas.openxmlformats.org/officeDocument/2006/relationships/hyperlink" Target="https://www.mdu.com/about-us/community/" TargetMode="External"/><Relationship Id="rId20" Type="http://schemas.openxmlformats.org/officeDocument/2006/relationships/hyperlink" Target="http://www.preservemontana.org/restoration-train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pwfoundation.org/grants/" TargetMode="External"/><Relationship Id="rId24" Type="http://schemas.openxmlformats.org/officeDocument/2006/relationships/hyperlink" Target="https://www.archives.gov/nhprc/announcement" TargetMode="External"/><Relationship Id="rId5" Type="http://schemas.openxmlformats.org/officeDocument/2006/relationships/footnotes" Target="footnotes.xml"/><Relationship Id="rId15" Type="http://schemas.openxmlformats.org/officeDocument/2006/relationships/hyperlink" Target="http://www.jerrymetcalfmontana.org/grantguidelines.html" TargetMode="External"/><Relationship Id="rId23" Type="http://schemas.openxmlformats.org/officeDocument/2006/relationships/hyperlink" Target="https://www.imls.gov/" TargetMode="External"/><Relationship Id="rId28" Type="http://schemas.openxmlformats.org/officeDocument/2006/relationships/fontTable" Target="fontTable.xml"/><Relationship Id="rId10" Type="http://schemas.openxmlformats.org/officeDocument/2006/relationships/hyperlink" Target="https://fmiokc.com/clients/browning-kimball/" TargetMode="External"/><Relationship Id="rId19" Type="http://schemas.openxmlformats.org/officeDocument/2006/relationships/hyperlink" Target="http://docs.msl.mt.gov/mmpweb/webpagedocs/brochure3.pdf" TargetMode="External"/><Relationship Id="rId4" Type="http://schemas.openxmlformats.org/officeDocument/2006/relationships/webSettings" Target="webSettings.xml"/><Relationship Id="rId9" Type="http://schemas.openxmlformats.org/officeDocument/2006/relationships/hyperlink" Target="http://www.bnsffoundation.org/" TargetMode="External"/><Relationship Id="rId14" Type="http://schemas.openxmlformats.org/officeDocument/2006/relationships/hyperlink" Target="http://www.humanitiesmontana.org/" TargetMode="External"/><Relationship Id="rId22" Type="http://schemas.openxmlformats.org/officeDocument/2006/relationships/hyperlink" Target="https://www.eda.gov/funding-opportunitie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Porsild</dc:creator>
  <cp:keywords/>
  <dc:description/>
  <cp:lastModifiedBy>Ciara Ryan</cp:lastModifiedBy>
  <cp:revision>2</cp:revision>
  <cp:lastPrinted>2019-07-17T19:56:00Z</cp:lastPrinted>
  <dcterms:created xsi:type="dcterms:W3CDTF">2022-09-07T20:55:00Z</dcterms:created>
  <dcterms:modified xsi:type="dcterms:W3CDTF">2022-09-07T20:55:00Z</dcterms:modified>
</cp:coreProperties>
</file>